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FA270F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22.08.22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9844E8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05</w:t>
            </w:r>
            <w:r w:rsidR="00465D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A270F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2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 an incident or significant change to the equipment/process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465D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FF1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bookmarkStart w:id="1" w:name="_GoBack"/>
            <w:r w:rsidR="00473C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Refuelling Tele-Handlers and Fuel Storage. </w:t>
            </w:r>
            <w:bookmarkEnd w:id="1"/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2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4E6C1D">
        <w:trPr>
          <w:trHeight w:val="557"/>
        </w:trPr>
        <w:tc>
          <w:tcPr>
            <w:tcW w:w="1695" w:type="dxa"/>
          </w:tcPr>
          <w:p w:rsidR="00D0353F" w:rsidRPr="00473C01" w:rsidRDefault="00465D7D" w:rsidP="004E6C1D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Refuelling of Tele-Handlers:</w:t>
            </w:r>
          </w:p>
          <w:p w:rsidR="00465D7D" w:rsidRDefault="00465D7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  <w:p w:rsidR="00465D7D" w:rsidRDefault="00465D7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Environmental incidents</w:t>
            </w:r>
          </w:p>
          <w:p w:rsidR="00465D7D" w:rsidRDefault="00473C01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Damage to skin/eyes.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Ignition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Leaks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Spillage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Unauthorised personnel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Vapour release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 xml:space="preserve">Fire/explosion caused by </w:t>
            </w:r>
          </w:p>
          <w:p w:rsidR="00473C01" w:rsidRPr="00473C01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ignition of vapour following </w:t>
            </w: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uncontrolled release of </w:t>
            </w: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product</w:t>
            </w:r>
          </w:p>
          <w:p w:rsidR="00465D7D" w:rsidRDefault="00473C01" w:rsidP="00473C01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 w:rsidRPr="00473C01"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Impact</w:t>
            </w: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 to fuel storage.</w:t>
            </w:r>
          </w:p>
          <w:p w:rsidR="00465D7D" w:rsidRDefault="00465D7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  <w:p w:rsidR="00465D7D" w:rsidRPr="0053733B" w:rsidRDefault="00465D7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465D7D" w:rsidRDefault="00465D7D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Operator</w:t>
            </w:r>
          </w:p>
          <w:p w:rsidR="00D0353F" w:rsidRDefault="00465D7D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Environment  </w:t>
            </w:r>
          </w:p>
          <w:p w:rsidR="00465D7D" w:rsidRPr="004E6C1D" w:rsidRDefault="00465D7D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site personnel </w:t>
            </w:r>
          </w:p>
        </w:tc>
        <w:tc>
          <w:tcPr>
            <w:tcW w:w="991" w:type="dxa"/>
            <w:shd w:val="clear" w:color="auto" w:fill="FF0000"/>
          </w:tcPr>
          <w:p w:rsidR="00D0353F" w:rsidRPr="004E6C1D" w:rsidRDefault="004E6C1D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806" w:type="dxa"/>
          </w:tcPr>
          <w:p w:rsidR="00757004" w:rsidRDefault="00465D7D" w:rsidP="00F127E7">
            <w:pPr>
              <w:rPr>
                <w:rFonts w:asciiTheme="minorHAnsi" w:hAnsiTheme="minorHAnsi" w:cstheme="minorHAnsi"/>
                <w:b/>
              </w:rPr>
            </w:pPr>
            <w:r w:rsidRPr="00F127E7">
              <w:rPr>
                <w:rFonts w:asciiTheme="minorHAnsi" w:hAnsiTheme="minorHAnsi" w:cstheme="minorHAnsi"/>
                <w:b/>
              </w:rPr>
              <w:t>Site fuel storage areas must comply with the guidance (EMS-GU-Fuel-Oil-Storage-and-Use)</w:t>
            </w:r>
            <w:r w:rsidR="007A0924" w:rsidRPr="00F127E7">
              <w:rPr>
                <w:rFonts w:asciiTheme="minorHAnsi" w:hAnsiTheme="minorHAnsi" w:cstheme="minorHAnsi"/>
                <w:b/>
              </w:rPr>
              <w:t xml:space="preserve"> A copy is to be provided with this risk assessment.</w:t>
            </w:r>
          </w:p>
          <w:p w:rsidR="00F127E7" w:rsidRPr="00F127E7" w:rsidRDefault="00F127E7" w:rsidP="00F127E7">
            <w:pPr>
              <w:rPr>
                <w:rFonts w:asciiTheme="minorHAnsi" w:hAnsiTheme="minorHAnsi" w:cstheme="minorHAnsi"/>
                <w:b/>
              </w:rPr>
            </w:pPr>
          </w:p>
          <w:p w:rsidR="007A0924" w:rsidRPr="007A0924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Enviropads must be provided on the ground to catch spills during refuelling</w:t>
            </w:r>
          </w:p>
          <w:p w:rsidR="007A0924" w:rsidRPr="007A0924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Containers must be locked when not in use (between refuelling etc.)</w:t>
            </w:r>
          </w:p>
          <w:p w:rsidR="007A0924" w:rsidRPr="00473C01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Suitable spill kits must be provided in close proximity to or within fuel storage areas, instructions for use must be available</w:t>
            </w:r>
            <w:r>
              <w:t>. (</w:t>
            </w:r>
            <w:r>
              <w:t>Fuel storage areas must be checked regularly for leaks and spills and to ensure appropriate signage and spill kits are available</w:t>
            </w:r>
            <w:r>
              <w:t>.)</w:t>
            </w:r>
          </w:p>
          <w:p w:rsidR="00473C01" w:rsidRPr="007A0924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Suitable and sufficient provision of </w:t>
            </w:r>
            <w:r>
              <w:t>firefighting</w:t>
            </w:r>
            <w:r>
              <w:t xml:space="preserve"> equipment</w:t>
            </w:r>
            <w:r>
              <w:t>.</w:t>
            </w:r>
          </w:p>
          <w:p w:rsidR="007A0924" w:rsidRPr="007A0924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Details of emergency spill contractors must be displayed in the event of serious spills that cannot be dealt with using spill kits</w:t>
            </w:r>
          </w:p>
          <w:p w:rsidR="007A0924" w:rsidRPr="00473C01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lastRenderedPageBreak/>
              <w:t>Containers must be within a secondary containment system (SCS) or bund that holds 110% of the volume of the container</w:t>
            </w:r>
            <w:r>
              <w:t>.</w:t>
            </w:r>
            <w:r w:rsidR="00F127E7">
              <w:t xml:space="preserve"> Bunds should be checked regularly </w:t>
            </w:r>
            <w:r w:rsidR="00473C01">
              <w:t>to ensure no</w:t>
            </w:r>
            <w:r w:rsidR="00F127E7">
              <w:t xml:space="preserve"> overspills. </w:t>
            </w:r>
          </w:p>
          <w:p w:rsidR="00473C01" w:rsidRPr="007A0924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Operators must ensure release valves are closed after use. </w:t>
            </w:r>
          </w:p>
          <w:p w:rsidR="007A0924" w:rsidRPr="007A0924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Fuel container are to </w:t>
            </w:r>
            <w:r w:rsidR="007A0924">
              <w:t xml:space="preserve">be stored in a suitable location as detailed in </w:t>
            </w:r>
            <w:r w:rsidR="007A0924" w:rsidRPr="007A0924">
              <w:t>(EMS-GU-Fuel-Oil-Storage-and-Use)</w:t>
            </w:r>
            <w:r w:rsidR="007A0924">
              <w:t>.</w:t>
            </w:r>
          </w:p>
          <w:p w:rsidR="007A0924" w:rsidRPr="00473C01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Operators must wear chemical resistant nitrile gloves and eye protection when refuelling.</w:t>
            </w:r>
          </w:p>
          <w:p w:rsidR="00473C01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Suitable hand washing facilities available</w:t>
            </w:r>
          </w:p>
          <w:p w:rsidR="00473C01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Emergency eye wash available</w:t>
            </w:r>
          </w:p>
          <w:p w:rsidR="00473C01" w:rsidRPr="007A0924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aid procedures / Personal on site. </w:t>
            </w:r>
          </w:p>
          <w:p w:rsidR="007A0924" w:rsidRPr="007A0924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No smoking or open flames near to the fuel storage area. </w:t>
            </w:r>
          </w:p>
          <w:p w:rsidR="007A0924" w:rsidRPr="007A0924" w:rsidRDefault="007A0924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COSHH Assessment complete for diesel fuel.</w:t>
            </w:r>
          </w:p>
          <w:p w:rsidR="007A0924" w:rsidRPr="00F127E7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Operators must lock the fuel cap on the Telehandler after refuelling.</w:t>
            </w:r>
          </w:p>
          <w:p w:rsidR="00F127E7" w:rsidRPr="00F127E7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Any hazardous waste from spillages i.e.: used spill mats must be removed off site appropriately as hazardous waste.</w:t>
            </w:r>
          </w:p>
          <w:p w:rsidR="00F127E7" w:rsidRPr="00F127E7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All fuel deliveries to be supervised.</w:t>
            </w:r>
          </w:p>
          <w:p w:rsidR="00F127E7" w:rsidRPr="00F127E7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If ad-blue is used this should be stored on a bund/ spill mat.</w:t>
            </w:r>
          </w:p>
          <w:p w:rsidR="00F127E7" w:rsidRPr="00F127E7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Operatives should keep a spare set pair of clothing on site should there be any spillages onto the operative whist refuelling. </w:t>
            </w:r>
          </w:p>
          <w:p w:rsidR="00F127E7" w:rsidRPr="00473C01" w:rsidRDefault="00F127E7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="00473C01">
              <w:t>Fire emergency plan in place.</w:t>
            </w:r>
          </w:p>
          <w:p w:rsidR="00473C01" w:rsidRPr="00473C01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Labelling/warning/safety signage displayed at fuel storage areas. </w:t>
            </w:r>
          </w:p>
          <w:p w:rsidR="00473C01" w:rsidRPr="00473C01" w:rsidRDefault="00473C01" w:rsidP="0012450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 xml:space="preserve">Fuel storage areas to be checked and recorded on Site Managers weekly check sheets. </w:t>
            </w:r>
          </w:p>
          <w:p w:rsidR="00757004" w:rsidRPr="00473C01" w:rsidRDefault="00757004" w:rsidP="00473C01">
            <w:pPr>
              <w:ind w:left="360"/>
              <w:rPr>
                <w:rFonts w:asciiTheme="minorHAnsi" w:hAnsiTheme="minorHAnsi" w:cstheme="minorHAnsi"/>
              </w:rPr>
            </w:pPr>
          </w:p>
          <w:p w:rsidR="00757004" w:rsidRPr="0059460C" w:rsidRDefault="00757004" w:rsidP="005946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00B050"/>
          </w:tcPr>
          <w:p w:rsidR="00D0353F" w:rsidRPr="004E6C1D" w:rsidRDefault="004E6C1D" w:rsidP="004E6C1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3828" w:type="dxa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0C24" w:rsidRDefault="00E60C24" w:rsidP="009F6B53">
      <w:pPr>
        <w:rPr>
          <w:rFonts w:ascii="Arial" w:hAnsi="Arial" w:cs="Arial"/>
          <w:b/>
          <w:sz w:val="20"/>
          <w:szCs w:val="20"/>
        </w:rPr>
      </w:pPr>
    </w:p>
    <w:p w:rsidR="00E672FE" w:rsidRDefault="00E672FE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lastRenderedPageBreak/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risk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03" w:rsidRDefault="00124503">
      <w:r>
        <w:separator/>
      </w:r>
    </w:p>
  </w:endnote>
  <w:endnote w:type="continuationSeparator" w:id="0">
    <w:p w:rsidR="00124503" w:rsidRDefault="0012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73C01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73C01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03" w:rsidRDefault="00124503">
      <w:r>
        <w:separator/>
      </w:r>
    </w:p>
  </w:footnote>
  <w:footnote w:type="continuationSeparator" w:id="0">
    <w:p w:rsidR="00124503" w:rsidRDefault="0012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B3A"/>
    <w:multiLevelType w:val="hybridMultilevel"/>
    <w:tmpl w:val="8F4A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1B00"/>
    <w:rsid w:val="0001541E"/>
    <w:rsid w:val="00020E3D"/>
    <w:rsid w:val="000322CD"/>
    <w:rsid w:val="00037091"/>
    <w:rsid w:val="00043B87"/>
    <w:rsid w:val="000557AE"/>
    <w:rsid w:val="00055ABE"/>
    <w:rsid w:val="0005601D"/>
    <w:rsid w:val="000569D1"/>
    <w:rsid w:val="0005768C"/>
    <w:rsid w:val="00065CB2"/>
    <w:rsid w:val="00072E8F"/>
    <w:rsid w:val="00073815"/>
    <w:rsid w:val="0007512E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4503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7E0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35EA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029C"/>
    <w:rsid w:val="00461573"/>
    <w:rsid w:val="00465D7D"/>
    <w:rsid w:val="00473C01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E6C1D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3EC7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9460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05B06"/>
    <w:rsid w:val="00610451"/>
    <w:rsid w:val="00612ADC"/>
    <w:rsid w:val="00616F4A"/>
    <w:rsid w:val="006176B0"/>
    <w:rsid w:val="0062049A"/>
    <w:rsid w:val="006205DE"/>
    <w:rsid w:val="00621CF4"/>
    <w:rsid w:val="0062298B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57004"/>
    <w:rsid w:val="007664A5"/>
    <w:rsid w:val="00774B7D"/>
    <w:rsid w:val="007764E7"/>
    <w:rsid w:val="0078463F"/>
    <w:rsid w:val="00785566"/>
    <w:rsid w:val="0079309E"/>
    <w:rsid w:val="00796A21"/>
    <w:rsid w:val="007A0924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B515C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44E8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0CF0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05A4E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440D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2A92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359FF"/>
    <w:rsid w:val="00D405D5"/>
    <w:rsid w:val="00D443E7"/>
    <w:rsid w:val="00D462E2"/>
    <w:rsid w:val="00D734EC"/>
    <w:rsid w:val="00D745DB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0C24"/>
    <w:rsid w:val="00E65AD2"/>
    <w:rsid w:val="00E66620"/>
    <w:rsid w:val="00E671D6"/>
    <w:rsid w:val="00E672FE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27E7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270F"/>
    <w:rsid w:val="00FA3E91"/>
    <w:rsid w:val="00FA5C2B"/>
    <w:rsid w:val="00FB0D73"/>
    <w:rsid w:val="00FB115D"/>
    <w:rsid w:val="00FB2DE4"/>
    <w:rsid w:val="00FC30F4"/>
    <w:rsid w:val="00FD2A88"/>
    <w:rsid w:val="00FE10A7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231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3EED-8363-444E-9EFE-95F44B15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Gregory, Craig</cp:lastModifiedBy>
  <cp:revision>2</cp:revision>
  <cp:lastPrinted>2021-06-07T09:55:00Z</cp:lastPrinted>
  <dcterms:created xsi:type="dcterms:W3CDTF">2022-08-22T14:15:00Z</dcterms:created>
  <dcterms:modified xsi:type="dcterms:W3CDTF">2022-08-22T14:15:00Z</dcterms:modified>
</cp:coreProperties>
</file>