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FA270F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22.08.22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9844E8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051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FA270F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2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 an incident or significant change to the equipment/process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9844E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353F" w:rsidRPr="00FF1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844E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Stability of Tele-Handlers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0353F" w:rsidRPr="002308BD" w:rsidTr="004E6C1D">
        <w:trPr>
          <w:trHeight w:val="557"/>
        </w:trPr>
        <w:tc>
          <w:tcPr>
            <w:tcW w:w="1695" w:type="dxa"/>
          </w:tcPr>
          <w:p w:rsidR="00D0353F" w:rsidRPr="0053733B" w:rsidRDefault="009844E8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Ground unable to support Tele-Handler.</w:t>
            </w:r>
          </w:p>
        </w:tc>
        <w:tc>
          <w:tcPr>
            <w:tcW w:w="1707" w:type="dxa"/>
          </w:tcPr>
          <w:p w:rsidR="00D0353F" w:rsidRPr="004E6C1D" w:rsidRDefault="009844E8" w:rsidP="004E6C1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Operator / Nearby Workers and damage to structures </w:t>
            </w:r>
          </w:p>
        </w:tc>
        <w:tc>
          <w:tcPr>
            <w:tcW w:w="991" w:type="dxa"/>
            <w:shd w:val="clear" w:color="auto" w:fill="FF0000"/>
          </w:tcPr>
          <w:p w:rsidR="00D0353F" w:rsidRPr="004E6C1D" w:rsidRDefault="004E6C1D" w:rsidP="00D0353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806" w:type="dxa"/>
          </w:tcPr>
          <w:p w:rsidR="009844E8" w:rsidRDefault="00FE10A7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Tele-Handlers </w:t>
            </w:r>
            <w:r w:rsidRPr="009844E8">
              <w:rPr>
                <w:rFonts w:asciiTheme="minorHAnsi" w:hAnsiTheme="minorHAnsi" w:cstheme="minorHAnsi"/>
              </w:rPr>
              <w:t>should</w:t>
            </w:r>
            <w:r w:rsidR="009844E8" w:rsidRPr="009844E8">
              <w:rPr>
                <w:rFonts w:asciiTheme="minorHAnsi" w:hAnsiTheme="minorHAnsi" w:cstheme="minorHAnsi"/>
              </w:rPr>
              <w:t xml:space="preserve"> only be used on firm</w:t>
            </w:r>
            <w:r w:rsidR="008B515C">
              <w:rPr>
                <w:rFonts w:asciiTheme="minorHAnsi" w:hAnsiTheme="minorHAnsi" w:cstheme="minorHAnsi"/>
              </w:rPr>
              <w:t xml:space="preserve"> and level</w:t>
            </w:r>
            <w:r w:rsidR="009844E8" w:rsidRPr="009844E8">
              <w:rPr>
                <w:rFonts w:asciiTheme="minorHAnsi" w:hAnsiTheme="minorHAnsi" w:cstheme="minorHAnsi"/>
              </w:rPr>
              <w:t xml:space="preserve"> ground that resists sinking of the wheels or stabilisers.</w:t>
            </w:r>
          </w:p>
          <w:p w:rsidR="0062298B" w:rsidRDefault="0062298B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Presence of voids/underground services must be established </w:t>
            </w:r>
          </w:p>
          <w:p w:rsidR="0062298B" w:rsidRDefault="0062298B" w:rsidP="0062298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62298B">
              <w:rPr>
                <w:rFonts w:asciiTheme="minorHAnsi" w:hAnsiTheme="minorHAnsi" w:cstheme="minorHAnsi"/>
              </w:rPr>
              <w:t xml:space="preserve">Avoid parking or moving near to the sides of an excavation – the extra weight can make a collapse more </w:t>
            </w:r>
            <w:r w:rsidR="00FE10A7" w:rsidRPr="0062298B">
              <w:rPr>
                <w:rFonts w:asciiTheme="minorHAnsi" w:hAnsiTheme="minorHAnsi" w:cstheme="minorHAnsi"/>
              </w:rPr>
              <w:t>likely.</w:t>
            </w:r>
            <w:r w:rsidR="00FE10A7">
              <w:rPr>
                <w:rFonts w:asciiTheme="minorHAnsi" w:hAnsiTheme="minorHAnsi" w:cstheme="minorHAnsi"/>
              </w:rPr>
              <w:t xml:space="preserve"> Where</w:t>
            </w:r>
            <w:r>
              <w:rPr>
                <w:rFonts w:asciiTheme="minorHAnsi" w:hAnsiTheme="minorHAnsi" w:cstheme="minorHAnsi"/>
              </w:rPr>
              <w:t xml:space="preserve"> a Tele-Handler is required to operate close to excavations suitable barriers must be installed with excavation warning signage, these must be placed at a safe distance away from the excavation </w:t>
            </w:r>
            <w:r w:rsidR="00FE10A7">
              <w:rPr>
                <w:rFonts w:asciiTheme="minorHAnsi" w:hAnsiTheme="minorHAnsi" w:cstheme="minorHAnsi"/>
              </w:rPr>
              <w:t>to avoid collapse these should be set out by a competent ground worker.</w:t>
            </w:r>
          </w:p>
          <w:p w:rsidR="00FE10A7" w:rsidRDefault="00FE10A7" w:rsidP="0062298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Consider the use of stop blocks at edges of excavations. </w:t>
            </w:r>
          </w:p>
          <w:p w:rsidR="00FE10A7" w:rsidRDefault="00FE10A7" w:rsidP="00FE10A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competent person/s must c</w:t>
            </w:r>
            <w:r w:rsidRPr="00FE10A7">
              <w:rPr>
                <w:rFonts w:asciiTheme="minorHAnsi" w:hAnsiTheme="minorHAnsi" w:cstheme="minorHAnsi"/>
              </w:rPr>
              <w:t>heck the excavation</w:t>
            </w:r>
            <w:r>
              <w:rPr>
                <w:rFonts w:asciiTheme="minorHAnsi" w:hAnsiTheme="minorHAnsi" w:cstheme="minorHAnsi"/>
              </w:rPr>
              <w:t>s</w:t>
            </w:r>
            <w:r w:rsidRPr="00FE10A7">
              <w:rPr>
                <w:rFonts w:asciiTheme="minorHAnsi" w:hAnsiTheme="minorHAnsi" w:cstheme="minorHAnsi"/>
              </w:rPr>
              <w:t xml:space="preserve"> each day before starting work and after any event that may affect its stability</w:t>
            </w:r>
            <w:r>
              <w:rPr>
                <w:rFonts w:asciiTheme="minorHAnsi" w:hAnsiTheme="minorHAnsi" w:cstheme="minorHAnsi"/>
              </w:rPr>
              <w:t>.</w:t>
            </w:r>
            <w:r>
              <w:t xml:space="preserve"> </w:t>
            </w:r>
            <w:r w:rsidRPr="00FE10A7">
              <w:rPr>
                <w:rFonts w:asciiTheme="minorHAnsi" w:hAnsiTheme="minorHAnsi" w:cstheme="minorHAnsi"/>
              </w:rPr>
              <w:t>Prevent collapse – shore, bench, or batter back. Do not assume ground will stand unsupported.</w:t>
            </w:r>
          </w:p>
          <w:p w:rsidR="00FE10A7" w:rsidRDefault="00FE10A7" w:rsidP="00FE10A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Where an operator has restricted visibility a competent Banksman must be used (</w:t>
            </w:r>
            <w:r w:rsidRPr="00FE10A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ake sure the Banksman and O</w:t>
            </w:r>
            <w:r w:rsidRPr="00FE10A7">
              <w:rPr>
                <w:rFonts w:asciiTheme="minorHAnsi" w:hAnsiTheme="minorHAnsi" w:cstheme="minorHAnsi"/>
              </w:rPr>
              <w:t>perator understand the signals they will use and agree on the way to communicate with each other</w:t>
            </w:r>
          </w:p>
          <w:p w:rsidR="00FE10A7" w:rsidRDefault="00065CB2" w:rsidP="00FE10A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Seatbelts must be worn by the Operator at all times. </w:t>
            </w:r>
          </w:p>
          <w:p w:rsidR="0007512E" w:rsidRPr="00E60C24" w:rsidRDefault="0007512E" w:rsidP="00E60C24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D0353F" w:rsidRPr="004E6C1D" w:rsidRDefault="004E6C1D" w:rsidP="004E6C1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53F" w:rsidRPr="002308BD" w:rsidTr="00B05A4E">
        <w:trPr>
          <w:trHeight w:val="1815"/>
        </w:trPr>
        <w:tc>
          <w:tcPr>
            <w:tcW w:w="1695" w:type="dxa"/>
          </w:tcPr>
          <w:p w:rsidR="00D0353F" w:rsidRDefault="009844E8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Tele-Handler </w:t>
            </w:r>
          </w:p>
          <w:p w:rsidR="009844E8" w:rsidRDefault="009844E8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Overload/</w:t>
            </w:r>
          </w:p>
          <w:p w:rsidR="009844E8" w:rsidRDefault="009844E8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Failure </w:t>
            </w:r>
          </w:p>
        </w:tc>
        <w:tc>
          <w:tcPr>
            <w:tcW w:w="1707" w:type="dxa"/>
          </w:tcPr>
          <w:p w:rsidR="00D0353F" w:rsidRDefault="009844E8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9844E8">
              <w:rPr>
                <w:rFonts w:asciiTheme="minorHAnsi" w:hAnsiTheme="minorHAnsi" w:cstheme="minorHAnsi"/>
              </w:rPr>
              <w:t>Operator / Nearby Workers and damage to structures</w:t>
            </w:r>
          </w:p>
        </w:tc>
        <w:tc>
          <w:tcPr>
            <w:tcW w:w="991" w:type="dxa"/>
            <w:shd w:val="clear" w:color="auto" w:fill="FF0000"/>
          </w:tcPr>
          <w:p w:rsidR="00D0353F" w:rsidRPr="009844E8" w:rsidRDefault="009844E8" w:rsidP="00D0353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44E8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806" w:type="dxa"/>
          </w:tcPr>
          <w:p w:rsidR="0046029C" w:rsidRDefault="00D745DB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Competent operators NPORS/CPCS certified.</w:t>
            </w:r>
          </w:p>
          <w:p w:rsidR="00553EC7" w:rsidRDefault="00553EC7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correct sizing of the Tele-Handler should be assessed by the Construction Senior Management pre site commencement to ensure it is adequate/suitable for the task required on the site. </w:t>
            </w:r>
          </w:p>
          <w:p w:rsidR="00B05A4E" w:rsidRDefault="009844E8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Tele-Handlers must manufacturer fitted </w:t>
            </w:r>
            <w:r w:rsidRPr="009844E8">
              <w:rPr>
                <w:rFonts w:asciiTheme="minorHAnsi" w:hAnsiTheme="minorHAnsi" w:cstheme="minorHAnsi"/>
              </w:rPr>
              <w:t>load chart</w:t>
            </w:r>
            <w:r>
              <w:rPr>
                <w:rFonts w:asciiTheme="minorHAnsi" w:hAnsiTheme="minorHAnsi" w:cstheme="minorHAnsi"/>
              </w:rPr>
              <w:t xml:space="preserve">s which </w:t>
            </w:r>
            <w:r w:rsidRPr="009844E8">
              <w:rPr>
                <w:rFonts w:asciiTheme="minorHAnsi" w:hAnsiTheme="minorHAnsi" w:cstheme="minorHAnsi"/>
              </w:rPr>
              <w:t xml:space="preserve">should be affixed in a prominent </w:t>
            </w:r>
            <w:r>
              <w:rPr>
                <w:rFonts w:asciiTheme="minorHAnsi" w:hAnsiTheme="minorHAnsi" w:cstheme="minorHAnsi"/>
              </w:rPr>
              <w:t xml:space="preserve">position and </w:t>
            </w:r>
            <w:r w:rsidRPr="009844E8">
              <w:rPr>
                <w:rFonts w:asciiTheme="minorHAnsi" w:hAnsiTheme="minorHAnsi" w:cstheme="minorHAnsi"/>
              </w:rPr>
              <w:t>easily readable by the operator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2298B" w:rsidRPr="0062298B" w:rsidRDefault="0062298B" w:rsidP="0062298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Tele-Handlers must be installed with a Load indicator, these must be tested on the operator’s pre-use checks. (At no point must an operator over-ride the load indicator) </w:t>
            </w:r>
          </w:p>
          <w:p w:rsidR="0062298B" w:rsidRPr="0062298B" w:rsidRDefault="0062298B" w:rsidP="0062298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62298B">
              <w:rPr>
                <w:rFonts w:asciiTheme="minorHAnsi" w:hAnsiTheme="minorHAnsi" w:cstheme="minorHAnsi"/>
              </w:rPr>
              <w:t xml:space="preserve">Ensure </w:t>
            </w:r>
            <w:r>
              <w:rPr>
                <w:rFonts w:asciiTheme="minorHAnsi" w:hAnsiTheme="minorHAnsi" w:cstheme="minorHAnsi"/>
              </w:rPr>
              <w:t>T</w:t>
            </w:r>
            <w:r w:rsidRPr="0062298B">
              <w:rPr>
                <w:rFonts w:asciiTheme="minorHAnsi" w:hAnsiTheme="minorHAnsi" w:cstheme="minorHAnsi"/>
              </w:rPr>
              <w:t>ele</w:t>
            </w:r>
            <w:r>
              <w:rPr>
                <w:rFonts w:asciiTheme="minorHAnsi" w:hAnsiTheme="minorHAnsi" w:cstheme="minorHAnsi"/>
              </w:rPr>
              <w:t>- H</w:t>
            </w:r>
            <w:r w:rsidRPr="0062298B">
              <w:rPr>
                <w:rFonts w:asciiTheme="minorHAnsi" w:hAnsiTheme="minorHAnsi" w:cstheme="minorHAnsi"/>
              </w:rPr>
              <w:t xml:space="preserve">andler has been adequately maintained, pre-use </w:t>
            </w:r>
          </w:p>
          <w:p w:rsidR="0062298B" w:rsidRPr="0062298B" w:rsidRDefault="0062298B" w:rsidP="0062298B">
            <w:pPr>
              <w:pStyle w:val="ListParagraph"/>
              <w:rPr>
                <w:rFonts w:asciiTheme="minorHAnsi" w:hAnsiTheme="minorHAnsi" w:cstheme="minorHAnsi"/>
              </w:rPr>
            </w:pPr>
            <w:r w:rsidRPr="0062298B">
              <w:rPr>
                <w:rFonts w:asciiTheme="minorHAnsi" w:hAnsiTheme="minorHAnsi" w:cstheme="minorHAnsi"/>
              </w:rPr>
              <w:t xml:space="preserve">checks carried out and has current report of thorough </w:t>
            </w:r>
          </w:p>
          <w:p w:rsidR="0062298B" w:rsidRDefault="0062298B" w:rsidP="0062298B">
            <w:pPr>
              <w:pStyle w:val="ListParagraph"/>
              <w:rPr>
                <w:rFonts w:asciiTheme="minorHAnsi" w:hAnsiTheme="minorHAnsi" w:cstheme="minorHAnsi"/>
              </w:rPr>
            </w:pPr>
            <w:proofErr w:type="gramStart"/>
            <w:r w:rsidRPr="0062298B">
              <w:rPr>
                <w:rFonts w:asciiTheme="minorHAnsi" w:hAnsiTheme="minorHAnsi" w:cstheme="minorHAnsi"/>
              </w:rPr>
              <w:t>examination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:rsidR="00FE10A7" w:rsidRDefault="00FE10A7" w:rsidP="00FE10A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FE10A7">
              <w:rPr>
                <w:rFonts w:asciiTheme="minorHAnsi" w:hAnsiTheme="minorHAnsi" w:cstheme="minorHAnsi"/>
              </w:rPr>
              <w:t xml:space="preserve">Plant defects should be </w:t>
            </w:r>
            <w:r>
              <w:rPr>
                <w:rFonts w:asciiTheme="minorHAnsi" w:hAnsiTheme="minorHAnsi" w:cstheme="minorHAnsi"/>
              </w:rPr>
              <w:t>reported immediately to the Site Manager</w:t>
            </w:r>
            <w:r w:rsidRPr="00FE10A7">
              <w:rPr>
                <w:rFonts w:asciiTheme="minorHAnsi" w:hAnsiTheme="minorHAnsi" w:cstheme="minorHAnsi"/>
              </w:rPr>
              <w:t>. If a defect is likely to pose an immediate or imminent risk to health and safety, remove the plant from service until the defect is fixed.</w:t>
            </w:r>
          </w:p>
          <w:p w:rsidR="009844E8" w:rsidRDefault="009844E8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Tele-Handlers must only be used by </w:t>
            </w:r>
            <w:r w:rsidRPr="009844E8">
              <w:rPr>
                <w:rFonts w:asciiTheme="minorHAnsi" w:hAnsiTheme="minorHAnsi" w:cstheme="minorHAnsi"/>
              </w:rPr>
              <w:t xml:space="preserve">trained, certificated and competent </w:t>
            </w:r>
            <w:r>
              <w:rPr>
                <w:rFonts w:asciiTheme="minorHAnsi" w:hAnsiTheme="minorHAnsi" w:cstheme="minorHAnsi"/>
              </w:rPr>
              <w:t>operators.</w:t>
            </w:r>
          </w:p>
          <w:p w:rsidR="00065CB2" w:rsidRDefault="00065CB2" w:rsidP="009844E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Tyre Pressures and condition must be checked on pre-use inspection using a tyre pressure gauge. Tyre Pressures should be in accordance with the manufactures guidance’s. </w:t>
            </w:r>
          </w:p>
          <w:p w:rsidR="009844E8" w:rsidRPr="00605B06" w:rsidRDefault="0062298B" w:rsidP="00605B0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62298B">
              <w:rPr>
                <w:rFonts w:asciiTheme="minorHAnsi" w:hAnsiTheme="minorHAnsi" w:cstheme="minorHAnsi"/>
              </w:rPr>
              <w:lastRenderedPageBreak/>
              <w:t>Ensure weight of load is known and accurate</w:t>
            </w:r>
            <w:r w:rsidR="00605B06">
              <w:t xml:space="preserve"> </w:t>
            </w:r>
            <w:r w:rsidR="00605B06" w:rsidRPr="00605B06">
              <w:rPr>
                <w:rFonts w:asciiTheme="minorHAnsi" w:hAnsiTheme="minorHAnsi" w:cstheme="minorHAnsi"/>
              </w:rPr>
              <w:t>Ensure that you understand the tele handler’s limitations on the rating plate and load charts. Never overload the tele handler.</w:t>
            </w:r>
          </w:p>
          <w:p w:rsidR="0062298B" w:rsidRPr="0062298B" w:rsidRDefault="0062298B" w:rsidP="0062298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62298B">
              <w:rPr>
                <w:rFonts w:asciiTheme="minorHAnsi" w:hAnsiTheme="minorHAnsi" w:cstheme="minorHAnsi"/>
              </w:rPr>
              <w:t>When stationary the hand brake must  be applied</w:t>
            </w:r>
          </w:p>
          <w:p w:rsidR="00065CB2" w:rsidRPr="00065CB2" w:rsidRDefault="00065CB2" w:rsidP="00065CB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065CB2">
              <w:rPr>
                <w:rFonts w:asciiTheme="minorHAnsi" w:hAnsiTheme="minorHAnsi" w:cstheme="minorHAnsi"/>
              </w:rPr>
              <w:t xml:space="preserve">Seatbelts must be worn by the Operator at all times. </w:t>
            </w:r>
          </w:p>
          <w:p w:rsidR="009844E8" w:rsidRDefault="00065CB2" w:rsidP="00065CB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Tele-Handler to be installed with </w:t>
            </w:r>
            <w:r w:rsidRPr="00065CB2">
              <w:rPr>
                <w:rFonts w:asciiTheme="minorHAnsi" w:hAnsiTheme="minorHAnsi" w:cstheme="minorHAnsi"/>
              </w:rPr>
              <w:t>an appropriate op</w:t>
            </w:r>
            <w:r>
              <w:rPr>
                <w:rFonts w:asciiTheme="minorHAnsi" w:hAnsiTheme="minorHAnsi" w:cstheme="minorHAnsi"/>
              </w:rPr>
              <w:t>erator protective structure fi</w:t>
            </w:r>
            <w:r w:rsidRPr="00065CB2">
              <w:rPr>
                <w:rFonts w:asciiTheme="minorHAnsi" w:hAnsiTheme="minorHAnsi" w:cstheme="minorHAnsi"/>
              </w:rPr>
              <w:t>tted. These are either roll-over protective structures (ROPS), falling object protective structures (FOPS) or both, depending on the application.</w:t>
            </w:r>
          </w:p>
          <w:p w:rsidR="00065CB2" w:rsidRDefault="00065CB2" w:rsidP="00065CB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065CB2">
              <w:rPr>
                <w:rFonts w:asciiTheme="minorHAnsi" w:hAnsiTheme="minorHAnsi" w:cstheme="minorHAnsi"/>
              </w:rPr>
              <w:t xml:space="preserve">he </w:t>
            </w:r>
            <w:r>
              <w:rPr>
                <w:rFonts w:asciiTheme="minorHAnsi" w:hAnsiTheme="minorHAnsi" w:cstheme="minorHAnsi"/>
              </w:rPr>
              <w:t>Tele-Handler</w:t>
            </w:r>
            <w:r w:rsidRPr="00065CB2">
              <w:rPr>
                <w:rFonts w:asciiTheme="minorHAnsi" w:hAnsiTheme="minorHAnsi" w:cstheme="minorHAnsi"/>
              </w:rPr>
              <w:t xml:space="preserve"> is not to be modified to make it operate as a crane other than the provision of a lifting point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65CB2" w:rsidRDefault="008B515C" w:rsidP="008B515C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8B515C">
              <w:rPr>
                <w:rFonts w:asciiTheme="minorHAnsi" w:hAnsiTheme="minorHAnsi" w:cstheme="minorHAnsi"/>
              </w:rPr>
              <w:t>The boom and load should be kept as low to the ground as practicable</w:t>
            </w:r>
            <w:r>
              <w:t xml:space="preserve"> </w:t>
            </w:r>
            <w:r w:rsidRPr="008B515C">
              <w:rPr>
                <w:rFonts w:asciiTheme="minorHAnsi" w:hAnsiTheme="minorHAnsi" w:cstheme="minorHAnsi"/>
              </w:rPr>
              <w:t>to ensure that the centre of gravity of the machine and the load is as low as possible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359FF" w:rsidRPr="00D359FF" w:rsidRDefault="00D359FF" w:rsidP="00D359FF">
            <w:pPr>
              <w:pStyle w:val="ListParagraph"/>
              <w:rPr>
                <w:rFonts w:asciiTheme="minorHAnsi" w:hAnsiTheme="minorHAnsi" w:cstheme="minorHAnsi"/>
                <w:i/>
              </w:rPr>
            </w:pPr>
            <w:r w:rsidRPr="00D359FF">
              <w:rPr>
                <w:rFonts w:asciiTheme="minorHAnsi" w:hAnsiTheme="minorHAnsi" w:cstheme="minorHAnsi"/>
                <w:i/>
              </w:rPr>
              <w:t>(If the site is so restricted that manoeuvring is impossible without raising the boom, site management should re-assess the use of a tele handler at all or, at least, consider reselection of the machine chosen.)</w:t>
            </w:r>
          </w:p>
          <w:p w:rsidR="00D359FF" w:rsidRDefault="00605B06" w:rsidP="0026203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D359FF">
              <w:rPr>
                <w:rFonts w:asciiTheme="minorHAnsi" w:hAnsiTheme="minorHAnsi" w:cstheme="minorHAnsi"/>
              </w:rPr>
              <w:t>Operators must be competent in the operations of stabilisers</w:t>
            </w:r>
            <w:r w:rsidR="008B515C" w:rsidRPr="00D359FF">
              <w:rPr>
                <w:rFonts w:asciiTheme="minorHAnsi" w:hAnsiTheme="minorHAnsi" w:cstheme="minorHAnsi"/>
              </w:rPr>
              <w:t>/outriggers</w:t>
            </w:r>
            <w:r w:rsidRPr="00D359FF">
              <w:rPr>
                <w:rFonts w:asciiTheme="minorHAnsi" w:hAnsiTheme="minorHAnsi" w:cstheme="minorHAnsi"/>
              </w:rPr>
              <w:t xml:space="preserve"> and levelling devices (</w:t>
            </w:r>
            <w:r w:rsidR="008B515C" w:rsidRPr="00D359FF">
              <w:rPr>
                <w:rFonts w:asciiTheme="minorHAnsi" w:hAnsiTheme="minorHAnsi" w:cstheme="minorHAnsi"/>
              </w:rPr>
              <w:t>i.e.: Cab</w:t>
            </w:r>
            <w:r w:rsidRPr="00D359FF">
              <w:rPr>
                <w:rFonts w:asciiTheme="minorHAnsi" w:hAnsiTheme="minorHAnsi" w:cstheme="minorHAnsi"/>
              </w:rPr>
              <w:t xml:space="preserve"> levelling</w:t>
            </w:r>
            <w:r w:rsidR="008B515C" w:rsidRPr="00D359FF">
              <w:rPr>
                <w:rFonts w:asciiTheme="minorHAnsi" w:hAnsiTheme="minorHAnsi" w:cstheme="minorHAnsi"/>
              </w:rPr>
              <w:t>).</w:t>
            </w:r>
          </w:p>
          <w:p w:rsidR="00605B06" w:rsidRPr="00D359FF" w:rsidRDefault="008B515C" w:rsidP="0026203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D359FF">
              <w:rPr>
                <w:rFonts w:asciiTheme="minorHAnsi" w:hAnsiTheme="minorHAnsi" w:cstheme="minorHAnsi"/>
              </w:rPr>
              <w:t>Operators should take care when braking and / or turning as this creates dynamic forces transmitted to the boom, thereby reducing stability.</w:t>
            </w:r>
          </w:p>
          <w:p w:rsidR="008B515C" w:rsidRPr="008B515C" w:rsidRDefault="008B515C" w:rsidP="008B515C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8B515C">
              <w:rPr>
                <w:rFonts w:asciiTheme="minorHAnsi" w:hAnsiTheme="minorHAnsi" w:cstheme="minorHAnsi"/>
              </w:rPr>
              <w:t xml:space="preserve">The operator should follow the manufacturer’s instructions for travelling on slopes and inclines. It is essential that they do not attempt to climb, descend or cross inclines in excess of </w:t>
            </w:r>
          </w:p>
          <w:p w:rsidR="008B515C" w:rsidRDefault="008B515C" w:rsidP="008B515C">
            <w:pPr>
              <w:pStyle w:val="ListParagraph"/>
              <w:rPr>
                <w:rFonts w:asciiTheme="minorHAnsi" w:hAnsiTheme="minorHAnsi" w:cstheme="minorHAnsi"/>
              </w:rPr>
            </w:pPr>
            <w:r w:rsidRPr="008B515C">
              <w:rPr>
                <w:rFonts w:asciiTheme="minorHAnsi" w:hAnsiTheme="minorHAnsi" w:cstheme="minorHAnsi"/>
              </w:rPr>
              <w:t>manufacturer’s limiting values, as this significantly increases the likelihood of overturning;</w:t>
            </w:r>
          </w:p>
          <w:p w:rsidR="00553EC7" w:rsidRDefault="00553EC7" w:rsidP="00553EC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Weather conditions should be assessed where there is high winds, Lifting operations at a high level should seized until safe operations can be resumed. </w:t>
            </w:r>
          </w:p>
          <w:p w:rsidR="00553EC7" w:rsidRDefault="00553EC7" w:rsidP="00553EC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operator should assess the loads prior to lifting , The Tele-Handler may become </w:t>
            </w:r>
            <w:r w:rsidRPr="00553EC7">
              <w:rPr>
                <w:rFonts w:asciiTheme="minorHAnsi" w:hAnsiTheme="minorHAnsi" w:cstheme="minorHAnsi"/>
              </w:rPr>
              <w:t>less stab</w:t>
            </w:r>
            <w:r>
              <w:rPr>
                <w:rFonts w:asciiTheme="minorHAnsi" w:hAnsiTheme="minorHAnsi" w:cstheme="minorHAnsi"/>
              </w:rPr>
              <w:t>le with a different shaped load/s</w:t>
            </w:r>
          </w:p>
          <w:p w:rsidR="00D359FF" w:rsidRDefault="00D745DB" w:rsidP="00D745D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D745DB">
              <w:rPr>
                <w:rFonts w:asciiTheme="minorHAnsi" w:hAnsiTheme="minorHAnsi" w:cstheme="minorHAnsi"/>
              </w:rPr>
              <w:t>Areas where a tele handler may be used should be kept free of rubbish such as bricks, pallets, timber, etc.</w:t>
            </w:r>
          </w:p>
          <w:p w:rsidR="00D745DB" w:rsidRPr="00E672FE" w:rsidRDefault="00E672FE" w:rsidP="00E672FE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E672FE">
              <w:rPr>
                <w:rFonts w:asciiTheme="minorHAnsi" w:hAnsiTheme="minorHAnsi" w:cstheme="minorHAnsi"/>
              </w:rPr>
              <w:t>The area selected by the planners as a static loading area</w:t>
            </w:r>
            <w:r>
              <w:rPr>
                <w:rFonts w:asciiTheme="minorHAnsi" w:hAnsiTheme="minorHAnsi" w:cstheme="minorHAnsi"/>
              </w:rPr>
              <w:t xml:space="preserve"> such as In front of loading bays,</w:t>
            </w:r>
            <w:r w:rsidRPr="00E672FE">
              <w:rPr>
                <w:rFonts w:asciiTheme="minorHAnsi" w:hAnsiTheme="minorHAnsi" w:cstheme="minorHAnsi"/>
              </w:rPr>
              <w:t xml:space="preserve"> must be large enough to accommodate all the wheels of the tele handler and stabilisers or outriggers when fitted. </w:t>
            </w:r>
            <w:r>
              <w:rPr>
                <w:rFonts w:asciiTheme="minorHAnsi" w:hAnsiTheme="minorHAnsi" w:cstheme="minorHAnsi"/>
              </w:rPr>
              <w:t>T</w:t>
            </w:r>
            <w:r w:rsidRPr="00E672FE">
              <w:rPr>
                <w:rFonts w:asciiTheme="minorHAnsi" w:hAnsiTheme="minorHAnsi" w:cstheme="minorHAnsi"/>
              </w:rPr>
              <w:t>he area should be of consolidated firm ground or surfaces giving similar levels of safety. It should be capable of accepting the mass of the loaded tele handler.</w:t>
            </w:r>
          </w:p>
          <w:p w:rsidR="009844E8" w:rsidRPr="009844E8" w:rsidRDefault="009844E8" w:rsidP="009844E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  <w:gridSpan w:val="2"/>
            <w:shd w:val="clear" w:color="auto" w:fill="00B050"/>
          </w:tcPr>
          <w:p w:rsidR="00D0353F" w:rsidRPr="009844E8" w:rsidRDefault="009844E8" w:rsidP="00D0353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44E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</w:t>
            </w:r>
          </w:p>
        </w:tc>
        <w:tc>
          <w:tcPr>
            <w:tcW w:w="3813" w:type="dxa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lastRenderedPageBreak/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59" w:rsidRDefault="00817059">
      <w:r>
        <w:separator/>
      </w:r>
    </w:p>
  </w:endnote>
  <w:endnote w:type="continuationSeparator" w:id="0">
    <w:p w:rsidR="00817059" w:rsidRDefault="008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60C24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60C24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59" w:rsidRDefault="00817059">
      <w:r>
        <w:separator/>
      </w:r>
    </w:p>
  </w:footnote>
  <w:footnote w:type="continuationSeparator" w:id="0">
    <w:p w:rsidR="00817059" w:rsidRDefault="0081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0AE"/>
    <w:multiLevelType w:val="hybridMultilevel"/>
    <w:tmpl w:val="21CE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42AC2"/>
    <w:multiLevelType w:val="hybridMultilevel"/>
    <w:tmpl w:val="FE58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A6C"/>
    <w:multiLevelType w:val="hybridMultilevel"/>
    <w:tmpl w:val="C3C2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7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6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18"/>
  </w:num>
  <w:num w:numId="4">
    <w:abstractNumId w:val="26"/>
  </w:num>
  <w:num w:numId="5">
    <w:abstractNumId w:val="23"/>
  </w:num>
  <w:num w:numId="6">
    <w:abstractNumId w:val="2"/>
  </w:num>
  <w:num w:numId="7">
    <w:abstractNumId w:val="16"/>
  </w:num>
  <w:num w:numId="8">
    <w:abstractNumId w:val="47"/>
  </w:num>
  <w:num w:numId="9">
    <w:abstractNumId w:val="28"/>
  </w:num>
  <w:num w:numId="10">
    <w:abstractNumId w:val="9"/>
  </w:num>
  <w:num w:numId="11">
    <w:abstractNumId w:val="25"/>
  </w:num>
  <w:num w:numId="12">
    <w:abstractNumId w:val="37"/>
  </w:num>
  <w:num w:numId="13">
    <w:abstractNumId w:val="31"/>
  </w:num>
  <w:num w:numId="14">
    <w:abstractNumId w:val="41"/>
  </w:num>
  <w:num w:numId="15">
    <w:abstractNumId w:val="46"/>
  </w:num>
  <w:num w:numId="16">
    <w:abstractNumId w:val="27"/>
  </w:num>
  <w:num w:numId="17">
    <w:abstractNumId w:val="39"/>
  </w:num>
  <w:num w:numId="18">
    <w:abstractNumId w:val="45"/>
  </w:num>
  <w:num w:numId="19">
    <w:abstractNumId w:val="1"/>
  </w:num>
  <w:num w:numId="20">
    <w:abstractNumId w:val="14"/>
  </w:num>
  <w:num w:numId="21">
    <w:abstractNumId w:val="13"/>
  </w:num>
  <w:num w:numId="22">
    <w:abstractNumId w:val="4"/>
  </w:num>
  <w:num w:numId="23">
    <w:abstractNumId w:val="43"/>
  </w:num>
  <w:num w:numId="24">
    <w:abstractNumId w:val="33"/>
  </w:num>
  <w:num w:numId="25">
    <w:abstractNumId w:val="34"/>
  </w:num>
  <w:num w:numId="26">
    <w:abstractNumId w:val="20"/>
  </w:num>
  <w:num w:numId="27">
    <w:abstractNumId w:val="40"/>
  </w:num>
  <w:num w:numId="28">
    <w:abstractNumId w:val="35"/>
  </w:num>
  <w:num w:numId="29">
    <w:abstractNumId w:val="12"/>
  </w:num>
  <w:num w:numId="30">
    <w:abstractNumId w:val="21"/>
  </w:num>
  <w:num w:numId="31">
    <w:abstractNumId w:val="8"/>
  </w:num>
  <w:num w:numId="32">
    <w:abstractNumId w:val="17"/>
  </w:num>
  <w:num w:numId="33">
    <w:abstractNumId w:val="6"/>
  </w:num>
  <w:num w:numId="34">
    <w:abstractNumId w:val="42"/>
  </w:num>
  <w:num w:numId="35">
    <w:abstractNumId w:val="3"/>
  </w:num>
  <w:num w:numId="36">
    <w:abstractNumId w:val="29"/>
  </w:num>
  <w:num w:numId="37">
    <w:abstractNumId w:val="24"/>
  </w:num>
  <w:num w:numId="38">
    <w:abstractNumId w:val="38"/>
  </w:num>
  <w:num w:numId="39">
    <w:abstractNumId w:val="19"/>
  </w:num>
  <w:num w:numId="40">
    <w:abstractNumId w:val="30"/>
  </w:num>
  <w:num w:numId="41">
    <w:abstractNumId w:val="32"/>
  </w:num>
  <w:num w:numId="42">
    <w:abstractNumId w:val="10"/>
  </w:num>
  <w:num w:numId="43">
    <w:abstractNumId w:val="11"/>
  </w:num>
  <w:num w:numId="44">
    <w:abstractNumId w:val="36"/>
  </w:num>
  <w:num w:numId="45">
    <w:abstractNumId w:val="7"/>
  </w:num>
  <w:num w:numId="46">
    <w:abstractNumId w:val="15"/>
  </w:num>
  <w:num w:numId="47">
    <w:abstractNumId w:val="22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1B00"/>
    <w:rsid w:val="0001541E"/>
    <w:rsid w:val="000322CD"/>
    <w:rsid w:val="00037091"/>
    <w:rsid w:val="00043B87"/>
    <w:rsid w:val="000557AE"/>
    <w:rsid w:val="00055ABE"/>
    <w:rsid w:val="0005601D"/>
    <w:rsid w:val="000569D1"/>
    <w:rsid w:val="0005768C"/>
    <w:rsid w:val="00065CB2"/>
    <w:rsid w:val="00072E8F"/>
    <w:rsid w:val="0007512E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7E0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35EA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029C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E6C1D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3EC7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05B06"/>
    <w:rsid w:val="00610451"/>
    <w:rsid w:val="00612ADC"/>
    <w:rsid w:val="00616F4A"/>
    <w:rsid w:val="006176B0"/>
    <w:rsid w:val="0062049A"/>
    <w:rsid w:val="006205DE"/>
    <w:rsid w:val="00621CF4"/>
    <w:rsid w:val="0062298B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53F7D"/>
    <w:rsid w:val="007664A5"/>
    <w:rsid w:val="00774B7D"/>
    <w:rsid w:val="007764E7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17059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B515C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44E8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05A4E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353F"/>
    <w:rsid w:val="00D132BC"/>
    <w:rsid w:val="00D317B7"/>
    <w:rsid w:val="00D359FF"/>
    <w:rsid w:val="00D405D5"/>
    <w:rsid w:val="00D443E7"/>
    <w:rsid w:val="00D462E2"/>
    <w:rsid w:val="00D734EC"/>
    <w:rsid w:val="00D745DB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0C24"/>
    <w:rsid w:val="00E65AD2"/>
    <w:rsid w:val="00E66620"/>
    <w:rsid w:val="00E671D6"/>
    <w:rsid w:val="00E672FE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270F"/>
    <w:rsid w:val="00FA3E91"/>
    <w:rsid w:val="00FA5C2B"/>
    <w:rsid w:val="00FB0D73"/>
    <w:rsid w:val="00FB115D"/>
    <w:rsid w:val="00FB2DE4"/>
    <w:rsid w:val="00FC30F4"/>
    <w:rsid w:val="00FD2A88"/>
    <w:rsid w:val="00FE10A7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231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6B2A-2325-42B8-A6C9-7479BAC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Gregory, Craig</cp:lastModifiedBy>
  <cp:revision>3</cp:revision>
  <cp:lastPrinted>2021-06-07T09:55:00Z</cp:lastPrinted>
  <dcterms:created xsi:type="dcterms:W3CDTF">2022-08-22T12:29:00Z</dcterms:created>
  <dcterms:modified xsi:type="dcterms:W3CDTF">2022-08-22T12:32:00Z</dcterms:modified>
</cp:coreProperties>
</file>