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DA0FA2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DA0F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0F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DA0FA2" w:rsidRPr="00DA0F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Excavations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A0FA2" w:rsidRPr="002308BD" w:rsidTr="00DA0FA2">
        <w:trPr>
          <w:trHeight w:val="557"/>
        </w:trPr>
        <w:tc>
          <w:tcPr>
            <w:tcW w:w="1695" w:type="dxa"/>
          </w:tcPr>
          <w:p w:rsidR="00DA0FA2" w:rsidRPr="0053733B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DA0FA2" w:rsidRDefault="00DA0FA2" w:rsidP="00DA0FA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DA0FA2" w:rsidRPr="00372FD8" w:rsidRDefault="00DA0FA2" w:rsidP="00DA0FA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DA0FA2" w:rsidRPr="00A3602D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excavation must be fully fenced off to prevent people falling into it.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 excavations must have a ladder in place, the ladder must be secured, if a proprietary trench box type system is used then secured ladder should be fitted with a gate and the edge protection should be part of the trench box. The minimum height for the edge protection should be 950mm.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Stop blocks must be fitted if a machine has to operate close to an excavation.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262">
              <w:rPr>
                <w:rFonts w:asciiTheme="minorHAnsi" w:hAnsiTheme="minorHAnsi" w:cstheme="minorHAnsi"/>
                <w:sz w:val="22"/>
                <w:szCs w:val="22"/>
              </w:rPr>
              <w:t>Provide adequate fencing (</w:t>
            </w:r>
            <w:proofErr w:type="spellStart"/>
            <w:r w:rsidRPr="00CA1262">
              <w:rPr>
                <w:rFonts w:asciiTheme="minorHAnsi" w:hAnsiTheme="minorHAnsi" w:cstheme="minorHAnsi"/>
                <w:sz w:val="22"/>
                <w:szCs w:val="22"/>
              </w:rPr>
              <w:t>Herras</w:t>
            </w:r>
            <w:proofErr w:type="spellEnd"/>
            <w:r w:rsidRPr="00CA1262">
              <w:rPr>
                <w:rFonts w:asciiTheme="minorHAnsi" w:hAnsiTheme="minorHAnsi" w:cstheme="minorHAnsi"/>
                <w:sz w:val="22"/>
                <w:szCs w:val="22"/>
              </w:rPr>
              <w:t xml:space="preserve"> type 2m) to excavations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 the excavation is outside the site peri</w:t>
            </w:r>
            <w:bookmarkStart w:id="2" w:name="_GoBack"/>
            <w:r>
              <w:rPr>
                <w:rFonts w:asciiTheme="minorHAnsi" w:hAnsiTheme="minorHAnsi" w:cstheme="minorHAnsi"/>
                <w:sz w:val="22"/>
                <w:szCs w:val="22"/>
              </w:rPr>
              <w:t>meter</w:t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Deep excavations must have a 2m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herras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fence put around them and signage stating ‘Deep Excavation’</w:t>
            </w:r>
            <w:r w:rsidR="00823B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0FA2" w:rsidRPr="00372FD8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DA0FA2" w:rsidRPr="00A3602D" w:rsidRDefault="00DA0FA2" w:rsidP="00DA0FA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FA2" w:rsidRPr="002308BD" w:rsidTr="00DA0FA2">
        <w:trPr>
          <w:trHeight w:val="1815"/>
        </w:trPr>
        <w:tc>
          <w:tcPr>
            <w:tcW w:w="1695" w:type="dxa"/>
          </w:tcPr>
          <w:p w:rsidR="00DA0FA2" w:rsidRPr="0053733B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>Falling materials</w:t>
            </w:r>
          </w:p>
        </w:tc>
        <w:tc>
          <w:tcPr>
            <w:tcW w:w="1707" w:type="dxa"/>
          </w:tcPr>
          <w:p w:rsidR="00DA0FA2" w:rsidRPr="00976DAF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Employees</w:t>
            </w:r>
          </w:p>
          <w:p w:rsidR="00DA0FA2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Contractors</w:t>
            </w:r>
          </w:p>
          <w:p w:rsidR="00DA0FA2" w:rsidRPr="00A3602D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public</w:t>
            </w:r>
          </w:p>
        </w:tc>
        <w:tc>
          <w:tcPr>
            <w:tcW w:w="991" w:type="dxa"/>
            <w:shd w:val="clear" w:color="auto" w:fill="FF0000"/>
          </w:tcPr>
          <w:p w:rsidR="00DA0FA2" w:rsidRPr="00A3602D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FA2" w:rsidRPr="0053733B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Equipment must not be stored close to an excavation that could fall into it, this includes spoil.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FA2" w:rsidRPr="002308BD" w:rsidTr="00DA0FA2">
        <w:trPr>
          <w:trHeight w:val="1815"/>
        </w:trPr>
        <w:tc>
          <w:tcPr>
            <w:tcW w:w="1695" w:type="dxa"/>
          </w:tcPr>
          <w:p w:rsidR="00DA0FA2" w:rsidRPr="00A3602D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Trench collapse/crush</w:t>
            </w:r>
          </w:p>
        </w:tc>
        <w:tc>
          <w:tcPr>
            <w:tcW w:w="1707" w:type="dxa"/>
          </w:tcPr>
          <w:p w:rsidR="00DA0FA2" w:rsidRDefault="00DA0FA2" w:rsidP="00DA0FA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</w:t>
            </w:r>
          </w:p>
          <w:p w:rsidR="00DA0FA2" w:rsidRPr="00372FD8" w:rsidRDefault="00DA0FA2" w:rsidP="00DA0FA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991" w:type="dxa"/>
            <w:shd w:val="clear" w:color="auto" w:fill="FF0000"/>
          </w:tcPr>
          <w:p w:rsidR="00DA0FA2" w:rsidRPr="00A3602D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Operatives must not enter an excavation unless adequate measures are in place to prevent the excavation from collapsing</w:t>
            </w:r>
            <w:r w:rsidR="00823B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A2" w:rsidRPr="00372FD8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Trench boxes must be fitted or the sides batter back.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FA2" w:rsidRPr="002308BD" w:rsidTr="00DA0FA2">
        <w:trPr>
          <w:trHeight w:val="1815"/>
        </w:trPr>
        <w:tc>
          <w:tcPr>
            <w:tcW w:w="1695" w:type="dxa"/>
          </w:tcPr>
          <w:p w:rsidR="00DA0FA2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Undermining adjacent structures</w:t>
            </w:r>
          </w:p>
        </w:tc>
        <w:tc>
          <w:tcPr>
            <w:tcW w:w="1707" w:type="dxa"/>
          </w:tcPr>
          <w:p w:rsidR="00DA0FA2" w:rsidRPr="00CA1262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CA1262">
              <w:rPr>
                <w:rFonts w:asciiTheme="minorHAnsi" w:hAnsiTheme="minorHAnsi" w:cstheme="minorHAnsi"/>
              </w:rPr>
              <w:t>Employees</w:t>
            </w:r>
          </w:p>
          <w:p w:rsidR="00DA0FA2" w:rsidRPr="00CA1262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CA1262">
              <w:rPr>
                <w:rFonts w:asciiTheme="minorHAnsi" w:hAnsiTheme="minorHAnsi" w:cstheme="minorHAnsi"/>
              </w:rPr>
              <w:t>Contractors</w:t>
            </w:r>
          </w:p>
          <w:p w:rsidR="00DA0FA2" w:rsidRPr="006176B0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CA1262">
              <w:rPr>
                <w:rFonts w:asciiTheme="minorHAnsi" w:hAnsiTheme="minorHAnsi" w:cstheme="minorHAnsi"/>
              </w:rPr>
              <w:t>Members of public</w:t>
            </w:r>
          </w:p>
        </w:tc>
        <w:tc>
          <w:tcPr>
            <w:tcW w:w="991" w:type="dxa"/>
            <w:shd w:val="clear" w:color="auto" w:fill="FFC000"/>
          </w:tcPr>
          <w:p w:rsidR="00DA0FA2" w:rsidRPr="00A3602D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Excavations must not be dug within 1m of a scaffold structure.</w:t>
            </w: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1262">
              <w:rPr>
                <w:rFonts w:asciiTheme="minorHAnsi" w:hAnsiTheme="minorHAnsi" w:cstheme="minorHAnsi"/>
                <w:sz w:val="22"/>
                <w:szCs w:val="22"/>
              </w:rPr>
              <w:t xml:space="preserve">When working adjacent structures, special care and planning </w:t>
            </w:r>
            <w:proofErr w:type="gramStart"/>
            <w:r w:rsidRPr="00CA1262">
              <w:rPr>
                <w:rFonts w:asciiTheme="minorHAnsi" w:hAnsiTheme="minorHAnsi" w:cstheme="minorHAnsi"/>
                <w:sz w:val="22"/>
                <w:szCs w:val="22"/>
              </w:rPr>
              <w:t>should be taken</w:t>
            </w:r>
            <w:proofErr w:type="gramEnd"/>
            <w:r w:rsidRPr="00CA1262">
              <w:rPr>
                <w:rFonts w:asciiTheme="minorHAnsi" w:hAnsiTheme="minorHAnsi" w:cstheme="minorHAnsi"/>
                <w:sz w:val="22"/>
                <w:szCs w:val="22"/>
              </w:rPr>
              <w:t xml:space="preserve"> to ensure that the excavation is supported adequately to prevent the collapse of the structure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work must be carried out in close proximity to a structure then a structural engineer must be consulted</w:t>
            </w:r>
            <w:r w:rsidR="00823B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FA2" w:rsidRPr="002308BD" w:rsidTr="00DA0FA2">
        <w:trPr>
          <w:trHeight w:val="1815"/>
        </w:trPr>
        <w:tc>
          <w:tcPr>
            <w:tcW w:w="1695" w:type="dxa"/>
          </w:tcPr>
          <w:p w:rsidR="00DA0FA2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Electrocution</w:t>
            </w:r>
          </w:p>
          <w:p w:rsidR="00DA0FA2" w:rsidRDefault="00DA0FA2" w:rsidP="00DA0FA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Cable strike</w:t>
            </w:r>
          </w:p>
        </w:tc>
        <w:tc>
          <w:tcPr>
            <w:tcW w:w="1707" w:type="dxa"/>
          </w:tcPr>
          <w:p w:rsidR="00DA0FA2" w:rsidRPr="00CA1262" w:rsidRDefault="00DA0FA2" w:rsidP="00DA0FA2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C000"/>
          </w:tcPr>
          <w:p w:rsidR="00DA0FA2" w:rsidRPr="00A3602D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A0FA2" w:rsidRDefault="00DA0FA2" w:rsidP="00DA0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to breaking ground the excavations policy must be read and adhered too.  A permit to dig must be in place.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A0FA2" w:rsidRPr="00372FD8" w:rsidRDefault="00DA0FA2" w:rsidP="00DA0FA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23B65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23B65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03916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8687A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3B65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0FA2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BEBB1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E460-6FE6-46E3-8003-55C2F24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5</cp:revision>
  <cp:lastPrinted>2021-06-07T09:55:00Z</cp:lastPrinted>
  <dcterms:created xsi:type="dcterms:W3CDTF">2021-11-17T11:52:00Z</dcterms:created>
  <dcterms:modified xsi:type="dcterms:W3CDTF">2022-02-28T13:30:00Z</dcterms:modified>
</cp:coreProperties>
</file>