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B50FD7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005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B50FD7" w:rsidP="003D3A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Brick laying operations </w:t>
            </w:r>
            <w:r w:rsidR="00441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  <w:r w:rsidR="000E6FE9"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816180" w:rsidRPr="002308BD" w:rsidTr="00816180">
        <w:trPr>
          <w:trHeight w:val="557"/>
        </w:trPr>
        <w:tc>
          <w:tcPr>
            <w:tcW w:w="1695" w:type="dxa"/>
          </w:tcPr>
          <w:p w:rsidR="00816180" w:rsidRPr="005F4F31" w:rsidRDefault="00816180" w:rsidP="00816180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5F4F3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816180" w:rsidRPr="00372FD8" w:rsidRDefault="00816180" w:rsidP="008161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Bricklayers, members of public and site operative</w:t>
            </w:r>
          </w:p>
        </w:tc>
        <w:tc>
          <w:tcPr>
            <w:tcW w:w="991" w:type="dxa"/>
            <w:shd w:val="clear" w:color="auto" w:fill="FF0000"/>
          </w:tcPr>
          <w:p w:rsidR="00816180" w:rsidRPr="00A3602D" w:rsidRDefault="00816180" w:rsidP="008161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Scaffold with full height and intermediate guiderails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Bird cage</w:t>
            </w:r>
            <w:proofErr w:type="gramEnd"/>
            <w:r>
              <w:rPr>
                <w:rFonts w:asciiTheme="minorHAnsi" w:hAnsiTheme="minorHAnsi" w:cstheme="minorHAnsi"/>
              </w:rPr>
              <w:t xml:space="preserve"> scaffold or safety deck systems for inside of the plots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Ladder gates on scaffold ladders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Halos around the top lift of ladders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Bandstands not to be more than 600mm (see band stand RA 48)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Everyone </w:t>
            </w:r>
            <w:proofErr w:type="gramStart"/>
            <w:r>
              <w:rPr>
                <w:rFonts w:asciiTheme="minorHAnsi" w:hAnsiTheme="minorHAnsi" w:cstheme="minorHAnsi"/>
              </w:rPr>
              <w:t>will be inducted</w:t>
            </w:r>
            <w:proofErr w:type="gramEnd"/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F273A2">
              <w:rPr>
                <w:rFonts w:asciiTheme="minorHAnsi" w:hAnsiTheme="minorHAnsi" w:cstheme="minorHAnsi"/>
              </w:rPr>
              <w:t>o unauthorised scaffold adaption.</w:t>
            </w:r>
          </w:p>
          <w:p w:rsidR="00816180" w:rsidRPr="00AB5FAE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5FAE">
              <w:rPr>
                <w:rFonts w:asciiTheme="minorHAnsi" w:hAnsiTheme="minorHAnsi" w:cstheme="minorHAnsi"/>
              </w:rPr>
              <w:t xml:space="preserve">3 Points of contact </w:t>
            </w:r>
            <w:proofErr w:type="gramStart"/>
            <w:r w:rsidRPr="00AB5FAE">
              <w:rPr>
                <w:rFonts w:asciiTheme="minorHAnsi" w:hAnsiTheme="minorHAnsi" w:cstheme="minorHAnsi"/>
              </w:rPr>
              <w:t>must be achieved</w:t>
            </w:r>
            <w:proofErr w:type="gramEnd"/>
            <w:r w:rsidRPr="00AB5FAE">
              <w:rPr>
                <w:rFonts w:asciiTheme="minorHAnsi" w:hAnsiTheme="minorHAnsi" w:cstheme="minorHAnsi"/>
              </w:rPr>
              <w:t xml:space="preserve"> when climbing ladders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Equipment </w:t>
            </w:r>
            <w:proofErr w:type="gramStart"/>
            <w:r>
              <w:rPr>
                <w:rFonts w:asciiTheme="minorHAnsi" w:hAnsiTheme="minorHAnsi" w:cstheme="minorHAnsi"/>
              </w:rPr>
              <w:t>must not be carried</w:t>
            </w:r>
            <w:proofErr w:type="gramEnd"/>
            <w:r>
              <w:rPr>
                <w:rFonts w:asciiTheme="minorHAnsi" w:hAnsiTheme="minorHAnsi" w:cstheme="minorHAnsi"/>
              </w:rPr>
              <w:t xml:space="preserve"> in the hand when</w:t>
            </w:r>
            <w:r w:rsidR="00F273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ascending/descending ladders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work </w:t>
            </w:r>
            <w:proofErr w:type="gramStart"/>
            <w:r>
              <w:rPr>
                <w:rFonts w:asciiTheme="minorHAnsi" w:hAnsiTheme="minorHAnsi" w:cstheme="minorHAnsi"/>
              </w:rPr>
              <w:t>is required to be carried</w:t>
            </w:r>
            <w:proofErr w:type="gramEnd"/>
            <w:r>
              <w:rPr>
                <w:rFonts w:asciiTheme="minorHAnsi" w:hAnsiTheme="minorHAnsi" w:cstheme="minorHAnsi"/>
              </w:rPr>
              <w:t xml:space="preserve"> out from a ladder then a separate Ladder RA will b</w:t>
            </w:r>
            <w:r w:rsidR="00C565C1">
              <w:rPr>
                <w:rFonts w:asciiTheme="minorHAnsi" w:hAnsiTheme="minorHAnsi" w:cstheme="minorHAnsi"/>
              </w:rPr>
              <w:t>e required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5FAE">
              <w:rPr>
                <w:rFonts w:asciiTheme="minorHAnsi" w:hAnsiTheme="minorHAnsi" w:cstheme="minorHAnsi"/>
              </w:rPr>
              <w:t xml:space="preserve">Loading bay gates </w:t>
            </w:r>
            <w:proofErr w:type="gramStart"/>
            <w:r w:rsidRPr="00AB5FAE">
              <w:rPr>
                <w:rFonts w:asciiTheme="minorHAnsi" w:hAnsiTheme="minorHAnsi" w:cstheme="minorHAnsi"/>
              </w:rPr>
              <w:t>must be only opened</w:t>
            </w:r>
            <w:proofErr w:type="gramEnd"/>
            <w:r w:rsidRPr="00AB5FAE">
              <w:rPr>
                <w:rFonts w:asciiTheme="minorHAnsi" w:hAnsiTheme="minorHAnsi" w:cstheme="minorHAnsi"/>
              </w:rPr>
              <w:t xml:space="preserve"> when materials are immanently inbound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5FAE">
              <w:rPr>
                <w:rFonts w:asciiTheme="minorHAnsi" w:hAnsiTheme="minorHAnsi" w:cstheme="minorHAnsi"/>
              </w:rPr>
              <w:lastRenderedPageBreak/>
              <w:t xml:space="preserve">If any safety issues with the scaffold </w:t>
            </w:r>
            <w:proofErr w:type="gramStart"/>
            <w:r w:rsidRPr="00AB5FAE">
              <w:rPr>
                <w:rFonts w:asciiTheme="minorHAnsi" w:hAnsiTheme="minorHAnsi" w:cstheme="minorHAnsi"/>
              </w:rPr>
              <w:t>are observed</w:t>
            </w:r>
            <w:proofErr w:type="gramEnd"/>
            <w:r w:rsidRPr="00AB5FAE">
              <w:rPr>
                <w:rFonts w:asciiTheme="minorHAnsi" w:hAnsiTheme="minorHAnsi" w:cstheme="minorHAnsi"/>
              </w:rPr>
              <w:t xml:space="preserve">, work must stop and the issue must be </w:t>
            </w:r>
            <w:r w:rsidR="00C565C1">
              <w:rPr>
                <w:rFonts w:asciiTheme="minorHAnsi" w:hAnsiTheme="minorHAnsi" w:cstheme="minorHAnsi"/>
              </w:rPr>
              <w:t>reported to the site management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Pr="00AB5FAE" w:rsidRDefault="00816180" w:rsidP="00034980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5FAE">
              <w:rPr>
                <w:rFonts w:asciiTheme="minorHAnsi" w:hAnsiTheme="minorHAnsi" w:cstheme="minorHAnsi"/>
              </w:rPr>
              <w:t>Internal f</w:t>
            </w:r>
            <w:r w:rsidR="00C565C1">
              <w:rPr>
                <w:rFonts w:asciiTheme="minorHAnsi" w:hAnsiTheme="minorHAnsi" w:cstheme="minorHAnsi"/>
              </w:rPr>
              <w:t>all protection must be in place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Pr="00372FD8" w:rsidRDefault="00816180" w:rsidP="008161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816180" w:rsidRPr="00A3602D" w:rsidRDefault="00816180" w:rsidP="0081618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816180" w:rsidRPr="00372FD8" w:rsidRDefault="00816180" w:rsidP="008161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6180" w:rsidRPr="002308BD" w:rsidTr="00816180">
        <w:trPr>
          <w:trHeight w:val="557"/>
        </w:trPr>
        <w:tc>
          <w:tcPr>
            <w:tcW w:w="1695" w:type="dxa"/>
          </w:tcPr>
          <w:p w:rsidR="00816180" w:rsidRPr="00372FD8" w:rsidRDefault="00816180" w:rsidP="00816180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Collapse of floors</w:t>
            </w:r>
          </w:p>
        </w:tc>
        <w:tc>
          <w:tcPr>
            <w:tcW w:w="1707" w:type="dxa"/>
          </w:tcPr>
          <w:p w:rsidR="00816180" w:rsidRPr="00372FD8" w:rsidRDefault="00816180" w:rsidP="008161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Bricklayers and site operatives</w:t>
            </w:r>
          </w:p>
        </w:tc>
        <w:tc>
          <w:tcPr>
            <w:tcW w:w="991" w:type="dxa"/>
            <w:shd w:val="clear" w:color="auto" w:fill="FF0000"/>
          </w:tcPr>
          <w:p w:rsidR="00816180" w:rsidRPr="00A3602D" w:rsidRDefault="00816180" w:rsidP="008161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816180" w:rsidRDefault="00816180" w:rsidP="008161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180" w:rsidRDefault="00816180" w:rsidP="00034980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Floors that need to be loaded out </w:t>
            </w:r>
            <w:proofErr w:type="gramStart"/>
            <w:r>
              <w:rPr>
                <w:rFonts w:asciiTheme="minorHAnsi" w:hAnsiTheme="minorHAnsi" w:cstheme="minorHAnsi"/>
              </w:rPr>
              <w:t>will be propped</w:t>
            </w:r>
            <w:proofErr w:type="gramEnd"/>
            <w:r>
              <w:rPr>
                <w:rFonts w:asciiTheme="minorHAnsi" w:hAnsiTheme="minorHAnsi" w:cstheme="minorHAnsi"/>
              </w:rPr>
              <w:t xml:space="preserve"> from below, propping arrangements must be documented in the Working at height assessment a</w:t>
            </w:r>
            <w:r w:rsidR="00C565C1">
              <w:rPr>
                <w:rFonts w:asciiTheme="minorHAnsi" w:hAnsiTheme="minorHAnsi" w:cstheme="minorHAnsi"/>
              </w:rPr>
              <w:t>nd the temporary works register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Sacrificial stair covers must be propped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floor manufacture must supply the safe working load of each </w:t>
            </w:r>
            <w:proofErr w:type="gramStart"/>
            <w:r>
              <w:rPr>
                <w:rFonts w:asciiTheme="minorHAnsi" w:hAnsiTheme="minorHAnsi" w:cstheme="minorHAnsi"/>
              </w:rPr>
              <w:t>floor,</w:t>
            </w:r>
            <w:proofErr w:type="gramEnd"/>
            <w:r>
              <w:rPr>
                <w:rFonts w:asciiTheme="minorHAnsi" w:hAnsiTheme="minorHAnsi" w:cstheme="minorHAnsi"/>
              </w:rPr>
              <w:t xml:space="preserve"> floors must never be overloaded with materials.</w:t>
            </w:r>
          </w:p>
          <w:p w:rsidR="00816180" w:rsidRPr="00AB5FAE" w:rsidRDefault="00816180" w:rsidP="00034980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5FAE">
              <w:rPr>
                <w:rFonts w:asciiTheme="minorHAnsi" w:hAnsiTheme="minorHAnsi" w:cstheme="minorHAnsi"/>
              </w:rPr>
              <w:t xml:space="preserve">Upper floors should not be loaded out, unless the floor has been propped or </w:t>
            </w:r>
            <w:proofErr w:type="gramStart"/>
            <w:r w:rsidRPr="00AB5FAE">
              <w:rPr>
                <w:rFonts w:asciiTheme="minorHAnsi" w:hAnsiTheme="minorHAnsi" w:cstheme="minorHAnsi"/>
              </w:rPr>
              <w:t>an</w:t>
            </w:r>
            <w:proofErr w:type="gramEnd"/>
            <w:r w:rsidRPr="00AB5FAE">
              <w:rPr>
                <w:rFonts w:asciiTheme="minorHAnsi" w:hAnsiTheme="minorHAnsi" w:cstheme="minorHAnsi"/>
              </w:rPr>
              <w:t xml:space="preserve"> scaffold internal platform has been constructed.  The load of bricks or blocks must not exceed the safer working capacity of the floor. Propping must only be co-ordinated, supervised and installed by trained and competent persons. Check the W@H assessments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816180" w:rsidRPr="00A3602D" w:rsidRDefault="00816180" w:rsidP="0081618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816180" w:rsidRPr="00372FD8" w:rsidRDefault="00816180" w:rsidP="008161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6180" w:rsidRPr="002308BD" w:rsidTr="00816180">
        <w:trPr>
          <w:trHeight w:val="557"/>
        </w:trPr>
        <w:tc>
          <w:tcPr>
            <w:tcW w:w="1695" w:type="dxa"/>
          </w:tcPr>
          <w:p w:rsidR="00816180" w:rsidRDefault="00816180" w:rsidP="00816180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Manual handling</w:t>
            </w:r>
          </w:p>
        </w:tc>
        <w:tc>
          <w:tcPr>
            <w:tcW w:w="1707" w:type="dxa"/>
          </w:tcPr>
          <w:p w:rsidR="00816180" w:rsidRPr="00372FD8" w:rsidRDefault="00816180" w:rsidP="008161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Bricklayers and </w:t>
            </w:r>
            <w:proofErr w:type="spellStart"/>
            <w:r>
              <w:rPr>
                <w:rFonts w:asciiTheme="minorHAnsi" w:hAnsiTheme="minorHAnsi" w:cstheme="minorHAnsi"/>
              </w:rPr>
              <w:t>Hod</w:t>
            </w:r>
            <w:proofErr w:type="spellEnd"/>
            <w:r>
              <w:rPr>
                <w:rFonts w:asciiTheme="minorHAnsi" w:hAnsiTheme="minorHAnsi" w:cstheme="minorHAnsi"/>
              </w:rPr>
              <w:t xml:space="preserve"> carriers</w:t>
            </w:r>
          </w:p>
        </w:tc>
        <w:tc>
          <w:tcPr>
            <w:tcW w:w="991" w:type="dxa"/>
            <w:shd w:val="clear" w:color="auto" w:fill="FF0000"/>
          </w:tcPr>
          <w:p w:rsidR="00816180" w:rsidRPr="00A3602D" w:rsidRDefault="00816180" w:rsidP="008161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816180" w:rsidRDefault="00816180" w:rsidP="00034980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Operatives must be trained </w:t>
            </w:r>
            <w:r w:rsidR="00B50FD7">
              <w:rPr>
                <w:rFonts w:asciiTheme="minorHAnsi" w:hAnsiTheme="minorHAnsi" w:cstheme="minorHAnsi"/>
              </w:rPr>
              <w:t>in, annual</w:t>
            </w:r>
            <w:r w:rsidR="00C565C1">
              <w:rPr>
                <w:rFonts w:asciiTheme="minorHAnsi" w:hAnsiTheme="minorHAnsi" w:cstheme="minorHAnsi"/>
              </w:rPr>
              <w:t xml:space="preserve"> handling techniques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816180" w:rsidRDefault="00816180" w:rsidP="00034980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Operatives must only lift what they are capable of lifting</w:t>
            </w:r>
            <w:r w:rsidR="00F273A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816180" w:rsidRPr="00C41448" w:rsidRDefault="00816180" w:rsidP="00034980">
            <w:pPr>
              <w:pStyle w:val="ListParagraph"/>
              <w:numPr>
                <w:ilvl w:val="0"/>
                <w:numId w:val="3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Repetitive tasks </w:t>
            </w:r>
            <w:proofErr w:type="gramStart"/>
            <w:r>
              <w:rPr>
                <w:rFonts w:asciiTheme="minorHAnsi" w:hAnsiTheme="minorHAnsi" w:cstheme="minorHAnsi"/>
              </w:rPr>
              <w:t>must be avoided or shared between the gang</w:t>
            </w:r>
            <w:proofErr w:type="gramEnd"/>
            <w:r w:rsidR="00F273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816180" w:rsidRPr="00A3602D" w:rsidRDefault="00816180" w:rsidP="0081618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816180" w:rsidRPr="00372FD8" w:rsidRDefault="00816180" w:rsidP="008161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980" w:rsidRPr="002308BD" w:rsidTr="00034980">
        <w:trPr>
          <w:trHeight w:val="557"/>
        </w:trPr>
        <w:tc>
          <w:tcPr>
            <w:tcW w:w="1695" w:type="dxa"/>
          </w:tcPr>
          <w:p w:rsidR="00034980" w:rsidRDefault="00034980" w:rsidP="00034980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Falling materials</w:t>
            </w:r>
          </w:p>
        </w:tc>
        <w:tc>
          <w:tcPr>
            <w:tcW w:w="1707" w:type="dxa"/>
          </w:tcPr>
          <w:p w:rsidR="00034980" w:rsidRPr="00372FD8" w:rsidRDefault="00034980" w:rsidP="000349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5277C2">
              <w:rPr>
                <w:rFonts w:asciiTheme="minorHAnsi" w:hAnsiTheme="minorHAnsi" w:cstheme="minorHAnsi"/>
              </w:rPr>
              <w:t>Bricklayers, members of public and site operative</w:t>
            </w:r>
          </w:p>
        </w:tc>
        <w:tc>
          <w:tcPr>
            <w:tcW w:w="991" w:type="dxa"/>
            <w:shd w:val="clear" w:color="auto" w:fill="FF0000"/>
          </w:tcPr>
          <w:p w:rsidR="00034980" w:rsidRPr="00A3602D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034980" w:rsidRDefault="00034980" w:rsidP="00034980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is imperative that brick guards are fitted on the scaffold lifts whe</w:t>
            </w:r>
            <w:r w:rsidR="00C565C1">
              <w:rPr>
                <w:rFonts w:asciiTheme="minorHAnsi" w:hAnsiTheme="minorHAnsi" w:cstheme="minorHAnsi"/>
              </w:rPr>
              <w:t xml:space="preserve">re the </w:t>
            </w:r>
            <w:proofErr w:type="gramStart"/>
            <w:r w:rsidR="00C565C1">
              <w:rPr>
                <w:rFonts w:asciiTheme="minorHAnsi" w:hAnsiTheme="minorHAnsi" w:cstheme="minorHAnsi"/>
              </w:rPr>
              <w:t>brick layers</w:t>
            </w:r>
            <w:proofErr w:type="gramEnd"/>
            <w:r w:rsidR="00C565C1">
              <w:rPr>
                <w:rFonts w:asciiTheme="minorHAnsi" w:hAnsiTheme="minorHAnsi" w:cstheme="minorHAnsi"/>
              </w:rPr>
              <w:t xml:space="preserve"> are working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034980" w:rsidRDefault="00034980" w:rsidP="00034980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 structure under construction is close to the site perimeter adjacent to a road or footpath, then a scaffold fan is to </w:t>
            </w:r>
            <w:proofErr w:type="gramStart"/>
            <w:r>
              <w:rPr>
                <w:rFonts w:asciiTheme="minorHAnsi" w:hAnsiTheme="minorHAnsi" w:cstheme="minorHAnsi"/>
              </w:rPr>
              <w:t>be erected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sheeting th</w:t>
            </w:r>
            <w:r w:rsidR="00C565C1">
              <w:rPr>
                <w:rFonts w:asciiTheme="minorHAnsi" w:hAnsiTheme="minorHAnsi" w:cstheme="minorHAnsi"/>
              </w:rPr>
              <w:t>e scaffold should be considered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034980" w:rsidRDefault="00034980" w:rsidP="00034980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Rubbish chutes or skip bays </w:t>
            </w:r>
            <w:proofErr w:type="gramStart"/>
            <w:r>
              <w:rPr>
                <w:rFonts w:asciiTheme="minorHAnsi" w:hAnsiTheme="minorHAnsi" w:cstheme="minorHAnsi"/>
              </w:rPr>
              <w:t>must be provided</w:t>
            </w:r>
            <w:proofErr w:type="gramEnd"/>
            <w:r w:rsidR="00F273A2">
              <w:rPr>
                <w:rFonts w:asciiTheme="minorHAnsi" w:hAnsiTheme="minorHAnsi" w:cstheme="minorHAnsi"/>
              </w:rPr>
              <w:t>.</w:t>
            </w:r>
          </w:p>
          <w:p w:rsidR="00034980" w:rsidRPr="000B1611" w:rsidRDefault="00034980" w:rsidP="00034980">
            <w:pPr>
              <w:pStyle w:val="ListParagraph"/>
              <w:numPr>
                <w:ilvl w:val="0"/>
                <w:numId w:val="4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Scaffold boards must be as close to the structure as possible and no gap greater than 225mm will be tolerated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034980" w:rsidRPr="00A3602D" w:rsidRDefault="00034980" w:rsidP="0003498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34980" w:rsidRPr="00372FD8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980" w:rsidRPr="002308BD" w:rsidTr="00034980">
        <w:trPr>
          <w:trHeight w:val="557"/>
        </w:trPr>
        <w:tc>
          <w:tcPr>
            <w:tcW w:w="1695" w:type="dxa"/>
          </w:tcPr>
          <w:p w:rsidR="00034980" w:rsidRDefault="00034980" w:rsidP="00034980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Silica dust, from cutting bricks and blocks</w:t>
            </w:r>
          </w:p>
        </w:tc>
        <w:tc>
          <w:tcPr>
            <w:tcW w:w="1707" w:type="dxa"/>
          </w:tcPr>
          <w:p w:rsidR="00034980" w:rsidRPr="00372FD8" w:rsidRDefault="00034980" w:rsidP="000349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5277C2">
              <w:rPr>
                <w:rFonts w:asciiTheme="minorHAnsi" w:hAnsiTheme="minorHAnsi" w:cstheme="minorHAnsi"/>
              </w:rPr>
              <w:t>Bricklayers, members of public and site operative</w:t>
            </w:r>
          </w:p>
        </w:tc>
        <w:tc>
          <w:tcPr>
            <w:tcW w:w="991" w:type="dxa"/>
            <w:shd w:val="clear" w:color="auto" w:fill="FF0000"/>
          </w:tcPr>
          <w:p w:rsidR="00034980" w:rsidRPr="00A3602D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034980" w:rsidRDefault="00034980" w:rsidP="00034980">
            <w:pPr>
              <w:pStyle w:val="ListParagraph"/>
              <w:numPr>
                <w:ilvl w:val="0"/>
                <w:numId w:val="5"/>
              </w:numPr>
              <w:ind w:left="460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Water suppression </w:t>
            </w:r>
            <w:proofErr w:type="gramStart"/>
            <w:r>
              <w:rPr>
                <w:rFonts w:asciiTheme="minorHAnsi" w:hAnsiTheme="minorHAnsi" w:cstheme="minorHAnsi"/>
              </w:rPr>
              <w:t>must be used</w:t>
            </w:r>
            <w:proofErr w:type="gramEnd"/>
            <w:r>
              <w:rPr>
                <w:rFonts w:asciiTheme="minorHAnsi" w:hAnsiTheme="minorHAnsi" w:cstheme="minorHAnsi"/>
              </w:rPr>
              <w:t xml:space="preserve"> when using saws to cut bricks blocks or tiles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034980" w:rsidRDefault="00034980" w:rsidP="00034980">
            <w:pPr>
              <w:pStyle w:val="ListParagraph"/>
              <w:numPr>
                <w:ilvl w:val="0"/>
                <w:numId w:val="5"/>
              </w:numPr>
              <w:ind w:left="460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Operative cutting and operatives within the cutting zone must wear an FFP3 Face Mask that has been face fit tested to them.</w:t>
            </w:r>
          </w:p>
          <w:p w:rsidR="00034980" w:rsidRPr="009D0409" w:rsidRDefault="00034980" w:rsidP="00034980">
            <w:pPr>
              <w:pStyle w:val="ListParagraph"/>
              <w:numPr>
                <w:ilvl w:val="0"/>
                <w:numId w:val="5"/>
              </w:numPr>
              <w:ind w:left="460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cutting is to </w:t>
            </w:r>
            <w:proofErr w:type="gramStart"/>
            <w:r>
              <w:rPr>
                <w:rFonts w:asciiTheme="minorHAnsi" w:hAnsiTheme="minorHAnsi" w:cstheme="minorHAnsi"/>
              </w:rPr>
              <w:t>be carried out</w:t>
            </w:r>
            <w:proofErr w:type="gramEnd"/>
            <w:r>
              <w:rPr>
                <w:rFonts w:asciiTheme="minorHAnsi" w:hAnsiTheme="minorHAnsi" w:cstheme="minorHAnsi"/>
              </w:rPr>
              <w:t xml:space="preserve"> close to the site perimeter, where dust could affect a member of public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034980" w:rsidRPr="00A3602D" w:rsidRDefault="00034980" w:rsidP="0003498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34980" w:rsidRPr="00372FD8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980" w:rsidRPr="002308BD" w:rsidTr="00034980">
        <w:trPr>
          <w:trHeight w:val="557"/>
        </w:trPr>
        <w:tc>
          <w:tcPr>
            <w:tcW w:w="1695" w:type="dxa"/>
          </w:tcPr>
          <w:p w:rsidR="00034980" w:rsidRDefault="00034980" w:rsidP="00034980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Slips trips and falls</w:t>
            </w:r>
          </w:p>
        </w:tc>
        <w:tc>
          <w:tcPr>
            <w:tcW w:w="1707" w:type="dxa"/>
          </w:tcPr>
          <w:p w:rsidR="00034980" w:rsidRDefault="00034980" w:rsidP="000349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Bricklayers and other operatives</w:t>
            </w:r>
          </w:p>
          <w:p w:rsidR="00034980" w:rsidRPr="00372FD8" w:rsidRDefault="00034980" w:rsidP="000349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0000"/>
          </w:tcPr>
          <w:p w:rsidR="00034980" w:rsidRPr="00A3602D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034980" w:rsidRDefault="00034980" w:rsidP="00034980">
            <w:pPr>
              <w:pStyle w:val="ListParagraph"/>
              <w:numPr>
                <w:ilvl w:val="0"/>
                <w:numId w:val="6"/>
              </w:numPr>
              <w:ind w:left="460" w:hanging="4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bricklayers must ensure that they keep their work are tidy and that any brick off cuts </w:t>
            </w:r>
            <w:proofErr w:type="gramStart"/>
            <w:r w:rsidR="00C565C1">
              <w:rPr>
                <w:rFonts w:asciiTheme="minorHAnsi" w:hAnsiTheme="minorHAnsi" w:cstheme="minorHAnsi"/>
              </w:rPr>
              <w:t>are not permitted</w:t>
            </w:r>
            <w:proofErr w:type="gramEnd"/>
            <w:r w:rsidR="00C565C1">
              <w:rPr>
                <w:rFonts w:asciiTheme="minorHAnsi" w:hAnsiTheme="minorHAnsi" w:cstheme="minorHAnsi"/>
              </w:rPr>
              <w:t xml:space="preserve"> to build up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034980" w:rsidRPr="007017C8" w:rsidRDefault="00034980" w:rsidP="00034980">
            <w:pPr>
              <w:pStyle w:val="ListParagraph"/>
              <w:numPr>
                <w:ilvl w:val="0"/>
                <w:numId w:val="6"/>
              </w:numPr>
              <w:ind w:left="460" w:hanging="4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Banding used to fasten brick pallets together must me cut and disposed of in the skips provided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034980" w:rsidRPr="00A3602D" w:rsidRDefault="00034980" w:rsidP="0003498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34980" w:rsidRPr="00372FD8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980" w:rsidRPr="002308BD" w:rsidTr="00034980">
        <w:trPr>
          <w:trHeight w:val="557"/>
        </w:trPr>
        <w:tc>
          <w:tcPr>
            <w:tcW w:w="1695" w:type="dxa"/>
          </w:tcPr>
          <w:p w:rsidR="00034980" w:rsidRDefault="00034980" w:rsidP="00034980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Dermatitis </w:t>
            </w:r>
          </w:p>
        </w:tc>
        <w:tc>
          <w:tcPr>
            <w:tcW w:w="1707" w:type="dxa"/>
          </w:tcPr>
          <w:p w:rsidR="00034980" w:rsidRPr="00372FD8" w:rsidRDefault="00034980" w:rsidP="0003498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Bricklayers</w:t>
            </w:r>
          </w:p>
        </w:tc>
        <w:tc>
          <w:tcPr>
            <w:tcW w:w="991" w:type="dxa"/>
            <w:shd w:val="clear" w:color="auto" w:fill="FFC000"/>
          </w:tcPr>
          <w:p w:rsidR="00034980" w:rsidRPr="00A3602D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034980" w:rsidRDefault="00034980" w:rsidP="00034980">
            <w:pPr>
              <w:pStyle w:val="ListParagraph"/>
              <w:numPr>
                <w:ilvl w:val="0"/>
                <w:numId w:val="7"/>
              </w:numPr>
              <w:ind w:left="460" w:hanging="4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Hands </w:t>
            </w:r>
            <w:proofErr w:type="gramStart"/>
            <w:r>
              <w:rPr>
                <w:rFonts w:asciiTheme="minorHAnsi" w:hAnsiTheme="minorHAnsi" w:cstheme="minorHAnsi"/>
              </w:rPr>
              <w:t>must be washed</w:t>
            </w:r>
            <w:proofErr w:type="gramEnd"/>
            <w:r>
              <w:rPr>
                <w:rFonts w:asciiTheme="minorHAnsi" w:hAnsiTheme="minorHAnsi" w:cstheme="minorHAnsi"/>
              </w:rPr>
              <w:t xml:space="preserve"> at regular intervals, especi</w:t>
            </w:r>
            <w:r w:rsidR="00C565C1">
              <w:rPr>
                <w:rFonts w:asciiTheme="minorHAnsi" w:hAnsiTheme="minorHAnsi" w:cstheme="minorHAnsi"/>
              </w:rPr>
              <w:t>ally before eating and drinking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  <w:p w:rsidR="00034980" w:rsidRPr="00D17D8A" w:rsidRDefault="00034980" w:rsidP="00034980">
            <w:pPr>
              <w:pStyle w:val="ListParagraph"/>
              <w:numPr>
                <w:ilvl w:val="0"/>
                <w:numId w:val="7"/>
              </w:numPr>
              <w:ind w:left="460" w:hanging="4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Barrier creams </w:t>
            </w:r>
            <w:proofErr w:type="gramStart"/>
            <w:r>
              <w:rPr>
                <w:rFonts w:asciiTheme="minorHAnsi" w:hAnsiTheme="minorHAnsi" w:cstheme="minorHAnsi"/>
              </w:rPr>
              <w:t>are made</w:t>
            </w:r>
            <w:proofErr w:type="gramEnd"/>
            <w:r>
              <w:rPr>
                <w:rFonts w:asciiTheme="minorHAnsi" w:hAnsiTheme="minorHAnsi" w:cstheme="minorHAnsi"/>
              </w:rPr>
              <w:t xml:space="preserve"> available and should be used</w:t>
            </w:r>
            <w:r w:rsidR="00F273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034980" w:rsidRPr="00A3602D" w:rsidRDefault="00034980" w:rsidP="0003498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34980" w:rsidRPr="00372FD8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980" w:rsidRPr="002308BD" w:rsidTr="00034980">
        <w:trPr>
          <w:trHeight w:val="1815"/>
        </w:trPr>
        <w:tc>
          <w:tcPr>
            <w:tcW w:w="1695" w:type="dxa"/>
          </w:tcPr>
          <w:p w:rsidR="00034980" w:rsidRPr="00AB5FAE" w:rsidRDefault="00034980" w:rsidP="00034980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 w:rsidRPr="00AB5FAE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Eye damage from fragments of cut bricks</w:t>
            </w:r>
          </w:p>
        </w:tc>
        <w:tc>
          <w:tcPr>
            <w:tcW w:w="1707" w:type="dxa"/>
          </w:tcPr>
          <w:p w:rsidR="00034980" w:rsidRDefault="00034980" w:rsidP="00034980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034980" w:rsidRDefault="00034980" w:rsidP="00034980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991" w:type="dxa"/>
            <w:shd w:val="clear" w:color="auto" w:fill="FF0000"/>
          </w:tcPr>
          <w:p w:rsidR="00034980" w:rsidRPr="00A3602D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034980" w:rsidRDefault="00034980" w:rsidP="000349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Eye protection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 worn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when cutting bricks</w:t>
            </w:r>
            <w:r w:rsidR="00F27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4980" w:rsidRDefault="00034980" w:rsidP="000349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4980" w:rsidRDefault="00034980" w:rsidP="000349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Consideration should be given to passes by when cutting bricks to prevent debris hitting them</w:t>
            </w:r>
            <w:r w:rsidR="00F27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2" w:name="_GoBack"/>
            <w:bookmarkEnd w:id="2"/>
          </w:p>
        </w:tc>
        <w:tc>
          <w:tcPr>
            <w:tcW w:w="1006" w:type="dxa"/>
            <w:gridSpan w:val="2"/>
            <w:shd w:val="clear" w:color="auto" w:fill="00B050"/>
          </w:tcPr>
          <w:p w:rsidR="00034980" w:rsidRPr="00372FD8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034980" w:rsidRPr="00372FD8" w:rsidRDefault="00034980" w:rsidP="0003498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273A2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273A2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717"/>
    <w:multiLevelType w:val="hybridMultilevel"/>
    <w:tmpl w:val="E2CE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7D7"/>
    <w:multiLevelType w:val="hybridMultilevel"/>
    <w:tmpl w:val="D0A4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81BFA"/>
    <w:multiLevelType w:val="hybridMultilevel"/>
    <w:tmpl w:val="F5BE4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42080"/>
    <w:multiLevelType w:val="hybridMultilevel"/>
    <w:tmpl w:val="2654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97E4B"/>
    <w:multiLevelType w:val="hybridMultilevel"/>
    <w:tmpl w:val="927E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E6443"/>
    <w:multiLevelType w:val="hybridMultilevel"/>
    <w:tmpl w:val="6AF81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C6902"/>
    <w:multiLevelType w:val="hybridMultilevel"/>
    <w:tmpl w:val="5DF2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4980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2DC4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16180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0FD7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65C1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273A2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5B399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C898-97A0-4126-9029-B4EBB411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7</cp:revision>
  <cp:lastPrinted>2021-06-07T09:55:00Z</cp:lastPrinted>
  <dcterms:created xsi:type="dcterms:W3CDTF">2021-11-17T11:44:00Z</dcterms:created>
  <dcterms:modified xsi:type="dcterms:W3CDTF">2022-02-28T13:44:00Z</dcterms:modified>
</cp:coreProperties>
</file>