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F245" w14:textId="478153A2" w:rsidR="002E392A" w:rsidRDefault="008E41B2">
      <w:pPr>
        <w:pStyle w:val="BodyText"/>
        <w:rPr>
          <w:rFonts w:ascii="Times New Roman"/>
          <w:b w:val="0"/>
          <w:sz w:val="20"/>
        </w:rPr>
      </w:pPr>
      <w:r>
        <w:rPr>
          <w:rFonts w:ascii="Calibri" w:hAnsi="Calibri" w:cs="Calibri"/>
          <w:noProof/>
          <w:sz w:val="20"/>
          <w:szCs w:val="20"/>
          <w:lang w:val="en-GB" w:eastAsia="en-GB"/>
        </w:rPr>
        <w:drawing>
          <wp:anchor distT="0" distB="0" distL="114300" distR="114300" simplePos="0" relativeHeight="251713536" behindDoc="0" locked="0" layoutInCell="1" allowOverlap="1" wp14:anchorId="477237F5" wp14:editId="63971B15">
            <wp:simplePos x="0" y="0"/>
            <wp:positionH relativeFrom="page">
              <wp:posOffset>1919408</wp:posOffset>
            </wp:positionH>
            <wp:positionV relativeFrom="page">
              <wp:posOffset>235377</wp:posOffset>
            </wp:positionV>
            <wp:extent cx="3538855" cy="615315"/>
            <wp:effectExtent l="0" t="0" r="444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4F248" w14:textId="2CF2009D" w:rsidR="002E392A" w:rsidRPr="00001805" w:rsidRDefault="00CE06E8">
      <w:pPr>
        <w:pStyle w:val="BodyText"/>
        <w:spacing w:before="102"/>
        <w:ind w:left="2359" w:right="2989"/>
        <w:jc w:val="center"/>
        <w:rPr>
          <w:rFonts w:ascii="Arial" w:hAnsi="Arial" w:cs="Arial"/>
          <w:sz w:val="22"/>
          <w:szCs w:val="22"/>
          <w:u w:val="single"/>
        </w:rPr>
      </w:pPr>
      <w:r w:rsidRPr="00001805">
        <w:rPr>
          <w:rFonts w:ascii="Arial" w:hAnsi="Arial" w:cs="Arial"/>
          <w:sz w:val="22"/>
          <w:szCs w:val="22"/>
          <w:u w:val="single"/>
        </w:rPr>
        <w:t>Materials Planning</w:t>
      </w:r>
      <w:r w:rsidR="00955C11" w:rsidRPr="00001805">
        <w:rPr>
          <w:rFonts w:ascii="Arial" w:hAnsi="Arial" w:cs="Arial"/>
          <w:sz w:val="22"/>
          <w:szCs w:val="22"/>
          <w:u w:val="single"/>
        </w:rPr>
        <w:t xml:space="preserve"> Checklist</w:t>
      </w:r>
      <w:r w:rsidR="007935DB">
        <w:rPr>
          <w:rFonts w:ascii="Arial" w:hAnsi="Arial" w:cs="Arial"/>
          <w:sz w:val="22"/>
          <w:szCs w:val="22"/>
          <w:u w:val="single"/>
        </w:rPr>
        <w:t xml:space="preserve"> (Scotland)</w:t>
      </w:r>
    </w:p>
    <w:p w14:paraId="255A5F09" w14:textId="77777777" w:rsidR="008E41B2" w:rsidRDefault="008E41B2" w:rsidP="008E41B2">
      <w:pPr>
        <w:widowControl/>
        <w:autoSpaceDE/>
        <w:autoSpaceDN/>
        <w:ind w:left="567" w:right="567"/>
        <w:rPr>
          <w:rFonts w:ascii="Arial" w:eastAsia="Calibri" w:hAnsi="Arial" w:cs="Arial"/>
        </w:rPr>
      </w:pPr>
    </w:p>
    <w:p w14:paraId="05232F54" w14:textId="77777777" w:rsidR="007935DB" w:rsidRDefault="007935DB" w:rsidP="008E41B2">
      <w:pPr>
        <w:widowControl/>
        <w:autoSpaceDE/>
        <w:autoSpaceDN/>
        <w:ind w:left="567" w:right="567"/>
        <w:jc w:val="both"/>
        <w:rPr>
          <w:rFonts w:ascii="Arial" w:eastAsia="Calibri" w:hAnsi="Arial" w:cs="Arial"/>
        </w:rPr>
      </w:pPr>
    </w:p>
    <w:p w14:paraId="481267DE" w14:textId="7148C8CC" w:rsidR="007935DB" w:rsidRDefault="007935DB" w:rsidP="008E41B2">
      <w:pPr>
        <w:widowControl/>
        <w:autoSpaceDE/>
        <w:autoSpaceDN/>
        <w:ind w:left="567" w:right="567"/>
        <w:jc w:val="both"/>
        <w:rPr>
          <w:rFonts w:ascii="Arial" w:eastAsia="Calibri" w:hAnsi="Arial" w:cs="Arial"/>
        </w:rPr>
      </w:pPr>
      <w:r w:rsidRPr="007935DB">
        <w:rPr>
          <w:rFonts w:ascii="Arial" w:eastAsia="Calibri" w:hAnsi="Arial" w:cs="Arial"/>
        </w:rPr>
        <w:t>SEPA has adopted the regulatory position</w:t>
      </w:r>
      <w:r>
        <w:rPr>
          <w:rFonts w:ascii="Arial" w:eastAsia="Calibri" w:hAnsi="Arial" w:cs="Arial"/>
        </w:rPr>
        <w:t xml:space="preserve"> </w:t>
      </w:r>
      <w:r w:rsidR="003D0045">
        <w:rPr>
          <w:rFonts w:ascii="Arial" w:eastAsia="Calibri" w:hAnsi="Arial" w:cs="Arial"/>
        </w:rPr>
        <w:t xml:space="preserve">(RP) </w:t>
      </w:r>
      <w:r w:rsidRPr="007935DB">
        <w:rPr>
          <w:rFonts w:ascii="Arial" w:eastAsia="Calibri" w:hAnsi="Arial" w:cs="Arial"/>
        </w:rPr>
        <w:t>that, in certain circumstances, surplus natural topsoil and subsoil from “greenfield” sites will not be classified as a waste, “greenfield” means land that has not been previously developed and is uncontaminated</w:t>
      </w:r>
      <w:r>
        <w:rPr>
          <w:rFonts w:ascii="Arial" w:eastAsia="Calibri" w:hAnsi="Arial" w:cs="Arial"/>
        </w:rPr>
        <w:t>.</w:t>
      </w:r>
    </w:p>
    <w:p w14:paraId="4ABCD9BE" w14:textId="77777777" w:rsidR="003D0045" w:rsidRDefault="003D0045" w:rsidP="008E41B2">
      <w:pPr>
        <w:widowControl/>
        <w:autoSpaceDE/>
        <w:autoSpaceDN/>
        <w:ind w:left="567" w:right="567"/>
        <w:jc w:val="both"/>
        <w:rPr>
          <w:rFonts w:ascii="Arial" w:eastAsia="Calibri" w:hAnsi="Arial" w:cs="Arial"/>
        </w:rPr>
      </w:pPr>
    </w:p>
    <w:p w14:paraId="1EC0C4F9" w14:textId="6FDCC37F" w:rsidR="003D0045" w:rsidRDefault="003D0045" w:rsidP="008E41B2">
      <w:pPr>
        <w:widowControl/>
        <w:autoSpaceDE/>
        <w:autoSpaceDN/>
        <w:ind w:left="567" w:right="567"/>
        <w:jc w:val="both"/>
        <w:rPr>
          <w:rFonts w:ascii="Arial" w:eastAsia="Calibri" w:hAnsi="Arial" w:cs="Arial"/>
        </w:rPr>
      </w:pPr>
      <w:r>
        <w:rPr>
          <w:rFonts w:ascii="Arial" w:eastAsia="Calibri" w:hAnsi="Arial" w:cs="Arial"/>
        </w:rPr>
        <w:t>SEPA adopts a different position for brownfield sites</w:t>
      </w:r>
      <w:r w:rsidR="00004B5D">
        <w:rPr>
          <w:rFonts w:ascii="Arial" w:eastAsia="Calibri" w:hAnsi="Arial" w:cs="Arial"/>
        </w:rPr>
        <w:t xml:space="preserve"> (see </w:t>
      </w:r>
      <w:r w:rsidR="003F5642">
        <w:rPr>
          <w:rFonts w:ascii="Arial" w:eastAsia="Calibri" w:hAnsi="Arial" w:cs="Arial"/>
        </w:rPr>
        <w:t>scenario’s B &amp; C overpage</w:t>
      </w:r>
      <w:r w:rsidR="00004B5D">
        <w:rPr>
          <w:rFonts w:ascii="Arial" w:eastAsia="Calibri" w:hAnsi="Arial" w:cs="Arial"/>
        </w:rPr>
        <w:t>).</w:t>
      </w:r>
    </w:p>
    <w:p w14:paraId="58793617" w14:textId="77777777" w:rsidR="007935DB" w:rsidRDefault="007935DB" w:rsidP="008E41B2">
      <w:pPr>
        <w:widowControl/>
        <w:autoSpaceDE/>
        <w:autoSpaceDN/>
        <w:ind w:left="567" w:right="567"/>
        <w:jc w:val="both"/>
        <w:rPr>
          <w:rFonts w:ascii="Arial" w:eastAsia="Calibri" w:hAnsi="Arial" w:cs="Arial"/>
        </w:rPr>
      </w:pPr>
    </w:p>
    <w:p w14:paraId="065BD496" w14:textId="77777777" w:rsidR="00C80BA2" w:rsidRPr="00BD387B" w:rsidRDefault="00C80BA2" w:rsidP="00BD387B">
      <w:pPr>
        <w:widowControl/>
        <w:autoSpaceDE/>
        <w:autoSpaceDN/>
        <w:ind w:right="567" w:firstLine="567"/>
        <w:jc w:val="both"/>
        <w:rPr>
          <w:rFonts w:ascii="Arial" w:eastAsia="Calibri" w:hAnsi="Arial" w:cs="Arial"/>
          <w:b/>
          <w:bCs/>
          <w:u w:val="single"/>
        </w:rPr>
      </w:pPr>
      <w:r w:rsidRPr="00BD387B">
        <w:rPr>
          <w:rFonts w:ascii="Arial" w:eastAsia="Calibri" w:hAnsi="Arial" w:cs="Arial"/>
          <w:b/>
          <w:bCs/>
          <w:u w:val="single"/>
        </w:rPr>
        <w:t>Greenfield</w:t>
      </w:r>
    </w:p>
    <w:p w14:paraId="16FDD28A" w14:textId="77777777" w:rsidR="00C80BA2" w:rsidRDefault="00C80BA2" w:rsidP="00C80BA2">
      <w:pPr>
        <w:widowControl/>
        <w:autoSpaceDE/>
        <w:autoSpaceDN/>
        <w:ind w:left="567" w:right="567"/>
        <w:jc w:val="both"/>
        <w:rPr>
          <w:rFonts w:ascii="Arial" w:eastAsia="Calibri" w:hAnsi="Arial" w:cs="Arial"/>
          <w:b/>
          <w:bCs/>
        </w:rPr>
      </w:pPr>
    </w:p>
    <w:p w14:paraId="588493E3" w14:textId="3D08D5C6" w:rsidR="007935DB" w:rsidRPr="00C80BA2" w:rsidRDefault="007935DB" w:rsidP="00C80BA2">
      <w:pPr>
        <w:widowControl/>
        <w:autoSpaceDE/>
        <w:autoSpaceDN/>
        <w:ind w:left="567" w:right="567"/>
        <w:jc w:val="both"/>
        <w:rPr>
          <w:rFonts w:ascii="Arial" w:eastAsia="Calibri" w:hAnsi="Arial" w:cs="Arial"/>
          <w:b/>
          <w:bCs/>
        </w:rPr>
      </w:pPr>
      <w:r w:rsidRPr="00C80BA2">
        <w:rPr>
          <w:rFonts w:ascii="Arial" w:eastAsia="Calibri" w:hAnsi="Arial" w:cs="Arial"/>
          <w:b/>
          <w:bCs/>
        </w:rPr>
        <w:t>On-site reuse</w:t>
      </w:r>
    </w:p>
    <w:p w14:paraId="05312395" w14:textId="77777777" w:rsidR="007935DB" w:rsidRDefault="007935DB" w:rsidP="008E41B2">
      <w:pPr>
        <w:widowControl/>
        <w:autoSpaceDE/>
        <w:autoSpaceDN/>
        <w:ind w:left="567" w:right="567"/>
        <w:jc w:val="both"/>
        <w:rPr>
          <w:rFonts w:ascii="Arial" w:eastAsia="Calibri" w:hAnsi="Arial" w:cs="Arial"/>
        </w:rPr>
      </w:pPr>
      <w:r w:rsidRPr="007935DB">
        <w:rPr>
          <w:rFonts w:ascii="Arial" w:eastAsia="Calibri" w:hAnsi="Arial" w:cs="Arial"/>
        </w:rPr>
        <w:t>Clean &amp; naturally occurring material can be reused on the site of origin without any regulatory controls.</w:t>
      </w:r>
    </w:p>
    <w:p w14:paraId="20533D7E" w14:textId="77777777" w:rsidR="007935DB" w:rsidRDefault="007935DB" w:rsidP="008E41B2">
      <w:pPr>
        <w:widowControl/>
        <w:autoSpaceDE/>
        <w:autoSpaceDN/>
        <w:ind w:left="567" w:right="567"/>
        <w:jc w:val="both"/>
        <w:rPr>
          <w:rFonts w:ascii="Arial" w:eastAsia="Calibri" w:hAnsi="Arial" w:cs="Arial"/>
        </w:rPr>
      </w:pPr>
    </w:p>
    <w:p w14:paraId="09236867" w14:textId="77777777" w:rsidR="007935DB" w:rsidRDefault="007935DB" w:rsidP="008E41B2">
      <w:pPr>
        <w:widowControl/>
        <w:autoSpaceDE/>
        <w:autoSpaceDN/>
        <w:ind w:left="567" w:right="567"/>
        <w:jc w:val="both"/>
        <w:rPr>
          <w:rFonts w:ascii="Arial" w:eastAsia="Calibri" w:hAnsi="Arial" w:cs="Arial"/>
        </w:rPr>
      </w:pPr>
      <w:r w:rsidRPr="007935DB">
        <w:rPr>
          <w:rFonts w:ascii="Arial" w:eastAsia="Calibri" w:hAnsi="Arial" w:cs="Arial"/>
          <w:b/>
          <w:bCs/>
        </w:rPr>
        <w:t>Off-site reuse</w:t>
      </w:r>
    </w:p>
    <w:p w14:paraId="78E25EB4" w14:textId="515DC31D" w:rsidR="007935DB" w:rsidRDefault="007935DB" w:rsidP="008E41B2">
      <w:pPr>
        <w:widowControl/>
        <w:autoSpaceDE/>
        <w:autoSpaceDN/>
        <w:ind w:left="567" w:right="567"/>
        <w:jc w:val="both"/>
        <w:rPr>
          <w:rFonts w:ascii="Arial" w:eastAsia="Calibri" w:hAnsi="Arial" w:cs="Arial"/>
        </w:rPr>
      </w:pPr>
      <w:r w:rsidRPr="007935DB">
        <w:rPr>
          <w:rFonts w:ascii="Arial" w:eastAsia="Calibri" w:hAnsi="Arial" w:cs="Arial"/>
        </w:rPr>
        <w:t>Before excavation operations begin, the person responsible for the excavation site must establish that there is an identified and certain end-use for the greenfield soil.</w:t>
      </w:r>
    </w:p>
    <w:p w14:paraId="10BB733F" w14:textId="77777777" w:rsidR="007935DB" w:rsidRDefault="007935DB" w:rsidP="008E41B2">
      <w:pPr>
        <w:widowControl/>
        <w:autoSpaceDE/>
        <w:autoSpaceDN/>
        <w:ind w:left="567" w:right="567"/>
        <w:jc w:val="both"/>
        <w:rPr>
          <w:rFonts w:ascii="Arial" w:eastAsia="Calibri" w:hAnsi="Arial" w:cs="Arial"/>
        </w:rPr>
      </w:pPr>
    </w:p>
    <w:p w14:paraId="115A5B13" w14:textId="6B4B7489" w:rsidR="007935DB" w:rsidRDefault="007935DB" w:rsidP="007935DB">
      <w:pPr>
        <w:widowControl/>
        <w:autoSpaceDE/>
        <w:autoSpaceDN/>
        <w:spacing w:after="120"/>
        <w:ind w:left="567" w:right="567"/>
        <w:jc w:val="both"/>
        <w:rPr>
          <w:rFonts w:ascii="Arial" w:eastAsia="Calibri" w:hAnsi="Arial" w:cs="Arial"/>
        </w:rPr>
      </w:pPr>
      <w:r w:rsidRPr="007935DB">
        <w:rPr>
          <w:rFonts w:ascii="Arial" w:eastAsia="Calibri" w:hAnsi="Arial" w:cs="Arial"/>
        </w:rPr>
        <w:t>Uses covered by the regulatory position:</w:t>
      </w:r>
    </w:p>
    <w:p w14:paraId="77A9D56B" w14:textId="4CA33581" w:rsidR="007935DB" w:rsidRPr="007935DB" w:rsidRDefault="007935DB" w:rsidP="007935DB">
      <w:pPr>
        <w:pStyle w:val="ListParagraph"/>
        <w:widowControl/>
        <w:numPr>
          <w:ilvl w:val="0"/>
          <w:numId w:val="8"/>
        </w:numPr>
        <w:autoSpaceDE/>
        <w:autoSpaceDN/>
        <w:ind w:right="567"/>
        <w:jc w:val="both"/>
        <w:rPr>
          <w:rFonts w:ascii="Arial" w:eastAsia="Calibri" w:hAnsi="Arial" w:cs="Arial"/>
        </w:rPr>
      </w:pPr>
      <w:r w:rsidRPr="007935DB">
        <w:rPr>
          <w:rFonts w:ascii="Arial" w:eastAsia="Calibri" w:hAnsi="Arial" w:cs="Arial"/>
        </w:rPr>
        <w:t>Use of greenfield soil from one development on another development where the soil is required for engineering works as per the planning permission. Such uses include soil for front and rear gardens.</w:t>
      </w:r>
    </w:p>
    <w:p w14:paraId="17FBC723" w14:textId="51EF5DFD" w:rsidR="007935DB" w:rsidRPr="007935DB" w:rsidRDefault="007935DB" w:rsidP="007935DB">
      <w:pPr>
        <w:pStyle w:val="ListParagraph"/>
        <w:widowControl/>
        <w:numPr>
          <w:ilvl w:val="0"/>
          <w:numId w:val="8"/>
        </w:numPr>
        <w:autoSpaceDE/>
        <w:autoSpaceDN/>
        <w:ind w:right="567"/>
        <w:jc w:val="both"/>
        <w:rPr>
          <w:rFonts w:ascii="Arial" w:eastAsia="Calibri" w:hAnsi="Arial" w:cs="Arial"/>
        </w:rPr>
      </w:pPr>
      <w:r w:rsidRPr="007935DB">
        <w:rPr>
          <w:rFonts w:ascii="Arial" w:eastAsia="Calibri" w:hAnsi="Arial" w:cs="Arial"/>
        </w:rPr>
        <w:t xml:space="preserve">Use of greenfield soil in developments on brownfield land to meet site-specific capping requirements for remediation. </w:t>
      </w:r>
    </w:p>
    <w:p w14:paraId="02F32A74" w14:textId="4EE4227C" w:rsidR="007935DB" w:rsidRPr="007935DB" w:rsidRDefault="007935DB" w:rsidP="007935DB">
      <w:pPr>
        <w:pStyle w:val="ListParagraph"/>
        <w:widowControl/>
        <w:numPr>
          <w:ilvl w:val="0"/>
          <w:numId w:val="8"/>
        </w:numPr>
        <w:autoSpaceDE/>
        <w:autoSpaceDN/>
        <w:ind w:right="567"/>
        <w:jc w:val="both"/>
        <w:rPr>
          <w:rFonts w:ascii="Arial" w:eastAsia="Calibri" w:hAnsi="Arial" w:cs="Arial"/>
        </w:rPr>
      </w:pPr>
      <w:r w:rsidRPr="007935DB">
        <w:rPr>
          <w:rFonts w:ascii="Arial" w:eastAsia="Calibri" w:hAnsi="Arial" w:cs="Arial"/>
        </w:rPr>
        <w:t>Use of greenfield soil in sustainable urban drainage schemes (SUDS).</w:t>
      </w:r>
    </w:p>
    <w:p w14:paraId="1B25DCC2" w14:textId="62B2F43A" w:rsidR="007935DB" w:rsidRPr="007935DB" w:rsidRDefault="007935DB" w:rsidP="007935DB">
      <w:pPr>
        <w:pStyle w:val="ListParagraph"/>
        <w:widowControl/>
        <w:numPr>
          <w:ilvl w:val="0"/>
          <w:numId w:val="8"/>
        </w:numPr>
        <w:autoSpaceDE/>
        <w:autoSpaceDN/>
        <w:ind w:right="567"/>
        <w:jc w:val="both"/>
        <w:rPr>
          <w:rFonts w:ascii="Arial" w:eastAsia="Calibri" w:hAnsi="Arial" w:cs="Arial"/>
        </w:rPr>
      </w:pPr>
      <w:r w:rsidRPr="007935DB">
        <w:rPr>
          <w:rFonts w:ascii="Arial" w:eastAsia="Calibri" w:hAnsi="Arial" w:cs="Arial"/>
        </w:rPr>
        <w:t>Use of greenfield soil in the construction of roads and road verges.</w:t>
      </w:r>
    </w:p>
    <w:p w14:paraId="5BAAB859" w14:textId="77777777" w:rsidR="007935DB" w:rsidRDefault="007935DB" w:rsidP="008E41B2">
      <w:pPr>
        <w:widowControl/>
        <w:autoSpaceDE/>
        <w:autoSpaceDN/>
        <w:ind w:left="567" w:right="567"/>
        <w:jc w:val="both"/>
        <w:rPr>
          <w:rFonts w:ascii="Arial" w:eastAsia="Calibri" w:hAnsi="Arial" w:cs="Arial"/>
        </w:rPr>
      </w:pPr>
    </w:p>
    <w:p w14:paraId="76D49036" w14:textId="5B091FF1" w:rsidR="003D0045" w:rsidRDefault="00004B5D" w:rsidP="003D0045">
      <w:pPr>
        <w:widowControl/>
        <w:autoSpaceDE/>
        <w:autoSpaceDN/>
        <w:ind w:right="567" w:firstLine="720"/>
        <w:jc w:val="both"/>
        <w:rPr>
          <w:rFonts w:ascii="Arial" w:eastAsia="Calibri" w:hAnsi="Arial" w:cs="Arial"/>
          <w:b/>
          <w:bCs/>
        </w:rPr>
      </w:pPr>
      <w:r>
        <w:rPr>
          <w:rFonts w:ascii="Arial" w:eastAsia="Calibri" w:hAnsi="Arial" w:cs="Arial"/>
          <w:b/>
          <w:bCs/>
        </w:rPr>
        <w:t>Table 1 - d</w:t>
      </w:r>
      <w:r w:rsidR="003D0045" w:rsidRPr="003D0045">
        <w:rPr>
          <w:rFonts w:ascii="Arial" w:eastAsia="Calibri" w:hAnsi="Arial" w:cs="Arial"/>
          <w:b/>
          <w:bCs/>
        </w:rPr>
        <w:t>epths allowed</w:t>
      </w:r>
      <w:r w:rsidR="003D0045">
        <w:rPr>
          <w:rFonts w:ascii="Arial" w:eastAsia="Calibri" w:hAnsi="Arial" w:cs="Arial"/>
          <w:b/>
          <w:bCs/>
        </w:rPr>
        <w:t xml:space="preserve"> under RP</w:t>
      </w:r>
    </w:p>
    <w:p w14:paraId="45FE7DBC" w14:textId="77777777" w:rsidR="003D0045" w:rsidRDefault="003D0045" w:rsidP="008E41B2">
      <w:pPr>
        <w:widowControl/>
        <w:autoSpaceDE/>
        <w:autoSpaceDN/>
        <w:ind w:left="567" w:right="567"/>
        <w:jc w:val="both"/>
        <w:rPr>
          <w:rFonts w:ascii="Arial" w:eastAsia="Calibri" w:hAnsi="Arial" w:cs="Arial"/>
          <w:b/>
          <w:bCs/>
        </w:rPr>
      </w:pPr>
    </w:p>
    <w:tbl>
      <w:tblPr>
        <w:tblStyle w:val="TableGrid"/>
        <w:tblW w:w="0" w:type="auto"/>
        <w:tblInd w:w="1215" w:type="dxa"/>
        <w:tblLook w:val="04A0" w:firstRow="1" w:lastRow="0" w:firstColumn="1" w:lastColumn="0" w:noHBand="0" w:noVBand="1"/>
      </w:tblPr>
      <w:tblGrid>
        <w:gridCol w:w="2437"/>
        <w:gridCol w:w="2410"/>
      </w:tblGrid>
      <w:tr w:rsidR="003D0045" w14:paraId="523E4457" w14:textId="77777777" w:rsidTr="00C80BA2">
        <w:tc>
          <w:tcPr>
            <w:tcW w:w="2437" w:type="dxa"/>
            <w:shd w:val="clear" w:color="auto" w:fill="B8CCE4" w:themeFill="accent1" w:themeFillTint="66"/>
          </w:tcPr>
          <w:p w14:paraId="2A20DC70" w14:textId="15021312" w:rsidR="003D0045" w:rsidRDefault="003D0045" w:rsidP="008E41B2">
            <w:pPr>
              <w:ind w:right="567"/>
              <w:jc w:val="both"/>
              <w:rPr>
                <w:rFonts w:ascii="Arial" w:eastAsia="Calibri" w:hAnsi="Arial" w:cs="Arial"/>
                <w:b/>
                <w:bCs/>
              </w:rPr>
            </w:pPr>
            <w:r>
              <w:rPr>
                <w:rFonts w:ascii="Arial" w:eastAsia="Calibri" w:hAnsi="Arial" w:cs="Arial"/>
                <w:b/>
                <w:bCs/>
              </w:rPr>
              <w:t>Soil type</w:t>
            </w:r>
          </w:p>
        </w:tc>
        <w:tc>
          <w:tcPr>
            <w:tcW w:w="2410" w:type="dxa"/>
            <w:shd w:val="clear" w:color="auto" w:fill="B8CCE4" w:themeFill="accent1" w:themeFillTint="66"/>
          </w:tcPr>
          <w:p w14:paraId="49B57B0B" w14:textId="0191EADF" w:rsidR="003D0045" w:rsidRDefault="003D0045" w:rsidP="008E41B2">
            <w:pPr>
              <w:ind w:right="567"/>
              <w:jc w:val="both"/>
              <w:rPr>
                <w:rFonts w:ascii="Arial" w:eastAsia="Calibri" w:hAnsi="Arial" w:cs="Arial"/>
                <w:b/>
                <w:bCs/>
              </w:rPr>
            </w:pPr>
            <w:r>
              <w:rPr>
                <w:rFonts w:ascii="Arial" w:eastAsia="Calibri" w:hAnsi="Arial" w:cs="Arial"/>
                <w:b/>
                <w:bCs/>
              </w:rPr>
              <w:t>Depth (mm)</w:t>
            </w:r>
          </w:p>
        </w:tc>
      </w:tr>
      <w:tr w:rsidR="003D0045" w14:paraId="5AEB3FF9" w14:textId="77777777" w:rsidTr="003D0045">
        <w:tc>
          <w:tcPr>
            <w:tcW w:w="2437" w:type="dxa"/>
          </w:tcPr>
          <w:p w14:paraId="39D0944C" w14:textId="4CFC1A98" w:rsidR="003D0045" w:rsidRDefault="003D0045" w:rsidP="008E41B2">
            <w:pPr>
              <w:ind w:right="567"/>
              <w:jc w:val="both"/>
              <w:rPr>
                <w:rFonts w:ascii="Arial" w:eastAsia="Calibri" w:hAnsi="Arial" w:cs="Arial"/>
                <w:b/>
                <w:bCs/>
              </w:rPr>
            </w:pPr>
            <w:r w:rsidRPr="003D0045">
              <w:rPr>
                <w:rFonts w:ascii="Arial" w:eastAsia="Calibri" w:hAnsi="Arial" w:cs="Arial"/>
              </w:rPr>
              <w:t>Topsoil</w:t>
            </w:r>
          </w:p>
        </w:tc>
        <w:tc>
          <w:tcPr>
            <w:tcW w:w="2410" w:type="dxa"/>
          </w:tcPr>
          <w:p w14:paraId="11D60785" w14:textId="6A6410DF" w:rsidR="003D0045" w:rsidRDefault="003D0045" w:rsidP="008E41B2">
            <w:pPr>
              <w:ind w:right="567"/>
              <w:jc w:val="both"/>
              <w:rPr>
                <w:rFonts w:ascii="Arial" w:eastAsia="Calibri" w:hAnsi="Arial" w:cs="Arial"/>
                <w:b/>
                <w:bCs/>
              </w:rPr>
            </w:pPr>
            <w:r w:rsidRPr="003D0045">
              <w:rPr>
                <w:rFonts w:ascii="Arial" w:eastAsia="Calibri" w:hAnsi="Arial" w:cs="Arial"/>
              </w:rPr>
              <w:t>100–150</w:t>
            </w:r>
          </w:p>
        </w:tc>
      </w:tr>
      <w:tr w:rsidR="003D0045" w14:paraId="1364E77A" w14:textId="77777777" w:rsidTr="003D0045">
        <w:tc>
          <w:tcPr>
            <w:tcW w:w="2437" w:type="dxa"/>
          </w:tcPr>
          <w:p w14:paraId="0E021850" w14:textId="7C2584CF" w:rsidR="003D0045" w:rsidRDefault="003D0045" w:rsidP="008E41B2">
            <w:pPr>
              <w:ind w:right="567"/>
              <w:jc w:val="both"/>
              <w:rPr>
                <w:rFonts w:ascii="Arial" w:eastAsia="Calibri" w:hAnsi="Arial" w:cs="Arial"/>
                <w:b/>
                <w:bCs/>
              </w:rPr>
            </w:pPr>
            <w:r w:rsidRPr="003D0045">
              <w:rPr>
                <w:rFonts w:ascii="Arial" w:eastAsia="Calibri" w:hAnsi="Arial" w:cs="Arial"/>
              </w:rPr>
              <w:t>Subsoil</w:t>
            </w:r>
          </w:p>
        </w:tc>
        <w:tc>
          <w:tcPr>
            <w:tcW w:w="2410" w:type="dxa"/>
          </w:tcPr>
          <w:p w14:paraId="016B7B46" w14:textId="7616759D" w:rsidR="003D0045" w:rsidRDefault="003D0045" w:rsidP="008E41B2">
            <w:pPr>
              <w:ind w:right="567"/>
              <w:jc w:val="both"/>
              <w:rPr>
                <w:rFonts w:ascii="Arial" w:eastAsia="Calibri" w:hAnsi="Arial" w:cs="Arial"/>
                <w:b/>
                <w:bCs/>
              </w:rPr>
            </w:pPr>
            <w:r w:rsidRPr="003D0045">
              <w:rPr>
                <w:rFonts w:ascii="Arial" w:eastAsia="Calibri" w:hAnsi="Arial" w:cs="Arial"/>
              </w:rPr>
              <w:t>300–450</w:t>
            </w:r>
          </w:p>
        </w:tc>
      </w:tr>
    </w:tbl>
    <w:p w14:paraId="27BD3CFF" w14:textId="77777777" w:rsidR="003D0045" w:rsidRPr="003D0045" w:rsidRDefault="003D0045" w:rsidP="008E41B2">
      <w:pPr>
        <w:widowControl/>
        <w:autoSpaceDE/>
        <w:autoSpaceDN/>
        <w:ind w:left="567" w:right="567"/>
        <w:jc w:val="both"/>
        <w:rPr>
          <w:rFonts w:ascii="Arial" w:eastAsia="Calibri" w:hAnsi="Arial" w:cs="Arial"/>
          <w:b/>
          <w:bCs/>
        </w:rPr>
      </w:pPr>
    </w:p>
    <w:p w14:paraId="0D21A48D" w14:textId="4664E8D8" w:rsidR="003D0045" w:rsidRDefault="003D0045" w:rsidP="008E41B2">
      <w:pPr>
        <w:widowControl/>
        <w:autoSpaceDE/>
        <w:autoSpaceDN/>
        <w:ind w:left="567" w:right="567"/>
        <w:jc w:val="both"/>
        <w:rPr>
          <w:rFonts w:ascii="Arial" w:eastAsia="Calibri" w:hAnsi="Arial" w:cs="Arial"/>
        </w:rPr>
      </w:pPr>
      <w:r w:rsidRPr="003D0045">
        <w:rPr>
          <w:rFonts w:ascii="Arial" w:eastAsia="Calibri" w:hAnsi="Arial" w:cs="Arial"/>
        </w:rPr>
        <w:t xml:space="preserve">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5"/>
        <w:gridCol w:w="571"/>
        <w:gridCol w:w="566"/>
      </w:tblGrid>
      <w:tr w:rsidR="007935DB" w:rsidRPr="00001805" w14:paraId="60EDD505" w14:textId="77777777" w:rsidTr="00E82C37">
        <w:trPr>
          <w:trHeight w:val="321"/>
        </w:trPr>
        <w:tc>
          <w:tcPr>
            <w:tcW w:w="11092" w:type="dxa"/>
            <w:gridSpan w:val="3"/>
            <w:tcBorders>
              <w:top w:val="nil"/>
              <w:left w:val="nil"/>
              <w:bottom w:val="nil"/>
              <w:right w:val="nil"/>
            </w:tcBorders>
            <w:shd w:val="clear" w:color="auto" w:fill="000000" w:themeFill="text1"/>
          </w:tcPr>
          <w:p w14:paraId="69619DC1" w14:textId="77777777" w:rsidR="007935DB" w:rsidRPr="00001805" w:rsidRDefault="007935DB" w:rsidP="00E82C37">
            <w:pPr>
              <w:pStyle w:val="TableParagraph"/>
              <w:spacing w:before="100" w:line="202" w:lineRule="exact"/>
              <w:ind w:left="5"/>
              <w:rPr>
                <w:rFonts w:ascii="Arial" w:hAnsi="Arial" w:cs="Arial"/>
                <w:b/>
                <w:color w:val="FFFFFF"/>
                <w:w w:val="98"/>
              </w:rPr>
            </w:pPr>
            <w:r w:rsidRPr="00001805">
              <w:rPr>
                <w:rFonts w:ascii="Arial" w:hAnsi="Arial" w:cs="Arial"/>
                <w:b/>
                <w:color w:val="FFFFFF"/>
              </w:rPr>
              <w:t>Section A</w:t>
            </w:r>
          </w:p>
        </w:tc>
      </w:tr>
      <w:tr w:rsidR="007935DB" w:rsidRPr="00001805" w14:paraId="422294CA" w14:textId="77777777" w:rsidTr="00E82C37">
        <w:trPr>
          <w:trHeight w:val="321"/>
        </w:trPr>
        <w:tc>
          <w:tcPr>
            <w:tcW w:w="9955" w:type="dxa"/>
            <w:tcBorders>
              <w:top w:val="nil"/>
              <w:left w:val="nil"/>
              <w:bottom w:val="nil"/>
              <w:right w:val="nil"/>
            </w:tcBorders>
            <w:shd w:val="clear" w:color="auto" w:fill="808080" w:themeFill="background1" w:themeFillShade="80"/>
          </w:tcPr>
          <w:p w14:paraId="1F120DD7" w14:textId="77777777" w:rsidR="007935DB" w:rsidRPr="00001805" w:rsidRDefault="007935DB" w:rsidP="00E82C37">
            <w:pPr>
              <w:pStyle w:val="TableParagraph"/>
              <w:spacing w:before="26"/>
              <w:rPr>
                <w:rFonts w:ascii="Arial" w:hAnsi="Arial" w:cs="Arial"/>
                <w:b/>
              </w:rPr>
            </w:pPr>
            <w:r w:rsidRPr="00001805">
              <w:rPr>
                <w:rFonts w:ascii="Arial" w:hAnsi="Arial" w:cs="Arial"/>
                <w:b/>
              </w:rPr>
              <w:t>Check</w:t>
            </w:r>
          </w:p>
        </w:tc>
        <w:tc>
          <w:tcPr>
            <w:tcW w:w="571" w:type="dxa"/>
            <w:tcBorders>
              <w:top w:val="nil"/>
              <w:left w:val="nil"/>
              <w:bottom w:val="nil"/>
              <w:right w:val="nil"/>
            </w:tcBorders>
            <w:shd w:val="clear" w:color="auto" w:fill="808080" w:themeFill="background1" w:themeFillShade="80"/>
          </w:tcPr>
          <w:p w14:paraId="12A9AF99" w14:textId="77777777" w:rsidR="007935DB" w:rsidRPr="00001805" w:rsidRDefault="007935DB" w:rsidP="00E82C37">
            <w:pPr>
              <w:pStyle w:val="TableParagraph"/>
              <w:spacing w:before="100" w:line="202" w:lineRule="exact"/>
              <w:ind w:left="5"/>
              <w:jc w:val="center"/>
              <w:rPr>
                <w:rFonts w:ascii="Arial" w:hAnsi="Arial" w:cs="Arial"/>
                <w:b/>
              </w:rPr>
            </w:pPr>
            <w:r w:rsidRPr="00001805">
              <w:rPr>
                <w:rFonts w:ascii="Arial" w:hAnsi="Arial" w:cs="Arial"/>
                <w:b/>
                <w:w w:val="101"/>
              </w:rPr>
              <w:t>Y</w:t>
            </w:r>
          </w:p>
        </w:tc>
        <w:tc>
          <w:tcPr>
            <w:tcW w:w="566" w:type="dxa"/>
            <w:tcBorders>
              <w:top w:val="nil"/>
              <w:left w:val="nil"/>
              <w:bottom w:val="nil"/>
              <w:right w:val="nil"/>
            </w:tcBorders>
            <w:shd w:val="clear" w:color="auto" w:fill="808080" w:themeFill="background1" w:themeFillShade="80"/>
          </w:tcPr>
          <w:p w14:paraId="12C246CB" w14:textId="77777777" w:rsidR="007935DB" w:rsidRPr="00001805" w:rsidRDefault="007935DB" w:rsidP="00E82C37">
            <w:pPr>
              <w:pStyle w:val="TableParagraph"/>
              <w:spacing w:before="100" w:line="202" w:lineRule="exact"/>
              <w:ind w:left="5"/>
              <w:jc w:val="center"/>
              <w:rPr>
                <w:rFonts w:ascii="Arial" w:hAnsi="Arial" w:cs="Arial"/>
                <w:b/>
              </w:rPr>
            </w:pPr>
            <w:r w:rsidRPr="00001805">
              <w:rPr>
                <w:rFonts w:ascii="Arial" w:hAnsi="Arial" w:cs="Arial"/>
                <w:b/>
                <w:w w:val="98"/>
              </w:rPr>
              <w:t>N</w:t>
            </w:r>
          </w:p>
        </w:tc>
      </w:tr>
      <w:tr w:rsidR="007935DB" w:rsidRPr="00001805" w14:paraId="3E708181" w14:textId="77777777" w:rsidTr="00E82C37">
        <w:trPr>
          <w:trHeight w:val="316"/>
        </w:trPr>
        <w:tc>
          <w:tcPr>
            <w:tcW w:w="9955" w:type="dxa"/>
            <w:tcBorders>
              <w:top w:val="nil"/>
            </w:tcBorders>
          </w:tcPr>
          <w:p w14:paraId="43B2E851" w14:textId="739CEE6D" w:rsidR="007935DB" w:rsidRPr="00001805" w:rsidRDefault="007935DB" w:rsidP="00E82C37">
            <w:pPr>
              <w:pStyle w:val="TableParagraph"/>
              <w:spacing w:line="252" w:lineRule="exact"/>
              <w:ind w:left="4"/>
              <w:rPr>
                <w:rFonts w:ascii="Arial" w:hAnsi="Arial" w:cs="Arial"/>
              </w:rPr>
            </w:pPr>
            <w:r w:rsidRPr="00001805">
              <w:rPr>
                <w:rFonts w:ascii="Arial" w:hAnsi="Arial" w:cs="Arial"/>
              </w:rPr>
              <w:t xml:space="preserve">Will (only) site won ‘clean &amp; naturally occurring’ material be </w:t>
            </w:r>
            <w:r w:rsidR="003D0045">
              <w:rPr>
                <w:rFonts w:ascii="Arial" w:hAnsi="Arial" w:cs="Arial"/>
              </w:rPr>
              <w:t>re</w:t>
            </w:r>
            <w:r w:rsidRPr="00001805">
              <w:rPr>
                <w:rFonts w:ascii="Arial" w:hAnsi="Arial" w:cs="Arial"/>
              </w:rPr>
              <w:t xml:space="preserve">used on site? </w:t>
            </w:r>
            <w:r w:rsidR="003D0045" w:rsidRPr="00001805">
              <w:rPr>
                <w:rFonts w:ascii="Arial" w:hAnsi="Arial" w:cs="Arial"/>
              </w:rPr>
              <w:t>E.g.</w:t>
            </w:r>
            <w:r w:rsidRPr="00001805">
              <w:rPr>
                <w:rFonts w:ascii="Arial" w:hAnsi="Arial" w:cs="Arial"/>
              </w:rPr>
              <w:t xml:space="preserve"> a review of information on the source site verifies that the material is geo-technically and environmentally suitable</w:t>
            </w:r>
          </w:p>
        </w:tc>
        <w:tc>
          <w:tcPr>
            <w:tcW w:w="571" w:type="dxa"/>
            <w:tcBorders>
              <w:top w:val="nil"/>
            </w:tcBorders>
          </w:tcPr>
          <w:p w14:paraId="41874A96" w14:textId="77777777" w:rsidR="007935DB" w:rsidRPr="00001805" w:rsidRDefault="007935DB" w:rsidP="00E82C37">
            <w:pPr>
              <w:pStyle w:val="TableParagraph"/>
              <w:rPr>
                <w:rFonts w:ascii="Arial" w:hAnsi="Arial" w:cs="Arial"/>
              </w:rPr>
            </w:pPr>
          </w:p>
        </w:tc>
        <w:tc>
          <w:tcPr>
            <w:tcW w:w="566" w:type="dxa"/>
            <w:tcBorders>
              <w:top w:val="nil"/>
            </w:tcBorders>
          </w:tcPr>
          <w:p w14:paraId="7E452A30" w14:textId="77777777" w:rsidR="007935DB" w:rsidRPr="00001805" w:rsidRDefault="007935DB" w:rsidP="00E82C37">
            <w:pPr>
              <w:pStyle w:val="TableParagraph"/>
              <w:rPr>
                <w:rFonts w:ascii="Arial" w:hAnsi="Arial" w:cs="Arial"/>
              </w:rPr>
            </w:pPr>
          </w:p>
        </w:tc>
      </w:tr>
      <w:tr w:rsidR="003D0045" w:rsidRPr="00001805" w14:paraId="0DBDF26A" w14:textId="77777777" w:rsidTr="00004B5D">
        <w:trPr>
          <w:trHeight w:val="316"/>
        </w:trPr>
        <w:tc>
          <w:tcPr>
            <w:tcW w:w="11092" w:type="dxa"/>
            <w:gridSpan w:val="3"/>
            <w:tcBorders>
              <w:top w:val="nil"/>
            </w:tcBorders>
            <w:shd w:val="clear" w:color="auto" w:fill="F2F2F2" w:themeFill="background1" w:themeFillShade="F2"/>
          </w:tcPr>
          <w:p w14:paraId="7D24F452" w14:textId="316554FC" w:rsidR="003D0045" w:rsidRPr="00001805" w:rsidRDefault="003D0045" w:rsidP="003D0045">
            <w:pPr>
              <w:pStyle w:val="TableParagraph"/>
              <w:rPr>
                <w:rFonts w:ascii="Arial" w:hAnsi="Arial" w:cs="Arial"/>
              </w:rPr>
            </w:pPr>
            <w:bookmarkStart w:id="0" w:name="_Hlk144894533"/>
            <w:r w:rsidRPr="00001805">
              <w:rPr>
                <w:rFonts w:ascii="Arial" w:hAnsi="Arial" w:cs="Arial"/>
              </w:rPr>
              <w:t>If answer ‘</w:t>
            </w:r>
            <w:r w:rsidRPr="00001805">
              <w:rPr>
                <w:rFonts w:ascii="Arial" w:hAnsi="Arial" w:cs="Arial"/>
                <w:color w:val="00B050"/>
              </w:rPr>
              <w:t>yes</w:t>
            </w:r>
            <w:r w:rsidRPr="00001805">
              <w:rPr>
                <w:rFonts w:ascii="Arial" w:hAnsi="Arial" w:cs="Arial"/>
              </w:rPr>
              <w:t xml:space="preserve">’ above, </w:t>
            </w:r>
            <w:r>
              <w:rPr>
                <w:rFonts w:ascii="Arial" w:hAnsi="Arial" w:cs="Arial"/>
              </w:rPr>
              <w:t>no further work required other than to file this form along with relevant SI / Geotechnical report in PEP folder.</w:t>
            </w:r>
          </w:p>
        </w:tc>
      </w:tr>
      <w:tr w:rsidR="003D0045" w:rsidRPr="00001805" w14:paraId="496B1698" w14:textId="77777777" w:rsidTr="00004B5D">
        <w:trPr>
          <w:trHeight w:val="316"/>
        </w:trPr>
        <w:tc>
          <w:tcPr>
            <w:tcW w:w="11092" w:type="dxa"/>
            <w:gridSpan w:val="3"/>
            <w:tcBorders>
              <w:top w:val="nil"/>
            </w:tcBorders>
            <w:shd w:val="clear" w:color="auto" w:fill="F2F2F2" w:themeFill="background1" w:themeFillShade="F2"/>
          </w:tcPr>
          <w:p w14:paraId="4B099377" w14:textId="77777777" w:rsidR="003D0045" w:rsidRPr="00001805" w:rsidRDefault="003D0045" w:rsidP="003D0045">
            <w:pPr>
              <w:pStyle w:val="TableParagraph"/>
              <w:rPr>
                <w:rFonts w:ascii="Arial" w:hAnsi="Arial" w:cs="Arial"/>
              </w:rPr>
            </w:pPr>
            <w:r w:rsidRPr="00001805">
              <w:rPr>
                <w:rFonts w:ascii="Arial" w:hAnsi="Arial" w:cs="Arial"/>
              </w:rPr>
              <w:t>If answer ‘</w:t>
            </w:r>
            <w:r w:rsidRPr="00001805">
              <w:rPr>
                <w:rFonts w:ascii="Arial" w:hAnsi="Arial" w:cs="Arial"/>
                <w:color w:val="FF0000"/>
              </w:rPr>
              <w:t>no</w:t>
            </w:r>
            <w:r w:rsidRPr="00001805">
              <w:rPr>
                <w:rFonts w:ascii="Arial" w:hAnsi="Arial" w:cs="Arial"/>
              </w:rPr>
              <w:t>’ above proceed to Section B</w:t>
            </w:r>
          </w:p>
        </w:tc>
      </w:tr>
      <w:bookmarkEnd w:id="0"/>
      <w:tr w:rsidR="003D0045" w:rsidRPr="00001805" w14:paraId="795FF3BF" w14:textId="77777777" w:rsidTr="00E82C37">
        <w:trPr>
          <w:trHeight w:val="316"/>
        </w:trPr>
        <w:tc>
          <w:tcPr>
            <w:tcW w:w="11092" w:type="dxa"/>
            <w:gridSpan w:val="3"/>
            <w:tcBorders>
              <w:top w:val="nil"/>
            </w:tcBorders>
            <w:shd w:val="clear" w:color="auto" w:fill="D6E3BC" w:themeFill="accent3" w:themeFillTint="66"/>
          </w:tcPr>
          <w:p w14:paraId="6608C44F" w14:textId="77777777" w:rsidR="003D0045" w:rsidRPr="00001805" w:rsidRDefault="003D0045" w:rsidP="003D0045">
            <w:pPr>
              <w:pStyle w:val="TableParagraph"/>
              <w:rPr>
                <w:rFonts w:ascii="Arial" w:hAnsi="Arial" w:cs="Arial"/>
              </w:rPr>
            </w:pPr>
            <w:r w:rsidRPr="00001805">
              <w:rPr>
                <w:rFonts w:ascii="Arial" w:hAnsi="Arial" w:cs="Arial"/>
                <w:b/>
              </w:rPr>
              <w:t xml:space="preserve">IF ANSWERED ‘YES’ ABOVE DO NOT PROCEED TO QUESTIONS BELOW </w:t>
            </w:r>
          </w:p>
        </w:tc>
      </w:tr>
      <w:tr w:rsidR="003D0045" w:rsidRPr="00001805" w14:paraId="42A57B08" w14:textId="77777777" w:rsidTr="00E82C37">
        <w:trPr>
          <w:trHeight w:val="316"/>
        </w:trPr>
        <w:tc>
          <w:tcPr>
            <w:tcW w:w="9955" w:type="dxa"/>
            <w:tcBorders>
              <w:top w:val="nil"/>
            </w:tcBorders>
            <w:shd w:val="clear" w:color="auto" w:fill="000000" w:themeFill="text1"/>
          </w:tcPr>
          <w:p w14:paraId="7116D98D" w14:textId="77777777" w:rsidR="003D0045" w:rsidRPr="00001805" w:rsidRDefault="003D0045" w:rsidP="003D0045">
            <w:pPr>
              <w:pStyle w:val="TableParagraph"/>
              <w:spacing w:line="252" w:lineRule="exact"/>
              <w:ind w:left="4"/>
              <w:rPr>
                <w:rFonts w:ascii="Arial" w:hAnsi="Arial" w:cs="Arial"/>
                <w:b/>
                <w:color w:val="FFFFFF" w:themeColor="background1"/>
              </w:rPr>
            </w:pPr>
            <w:r w:rsidRPr="00001805">
              <w:rPr>
                <w:rFonts w:ascii="Arial" w:hAnsi="Arial" w:cs="Arial"/>
                <w:b/>
                <w:color w:val="FFFFFF" w:themeColor="background1"/>
              </w:rPr>
              <w:t>Section B</w:t>
            </w:r>
          </w:p>
        </w:tc>
        <w:tc>
          <w:tcPr>
            <w:tcW w:w="571" w:type="dxa"/>
            <w:tcBorders>
              <w:top w:val="nil"/>
            </w:tcBorders>
            <w:shd w:val="clear" w:color="auto" w:fill="000000" w:themeFill="text1"/>
          </w:tcPr>
          <w:p w14:paraId="14A4D71C" w14:textId="77777777" w:rsidR="003D0045" w:rsidRPr="00001805" w:rsidRDefault="003D0045" w:rsidP="003D0045">
            <w:pPr>
              <w:pStyle w:val="TableParagraph"/>
              <w:rPr>
                <w:rFonts w:ascii="Arial" w:hAnsi="Arial" w:cs="Arial"/>
                <w:color w:val="FFFFFF" w:themeColor="background1"/>
              </w:rPr>
            </w:pPr>
          </w:p>
        </w:tc>
        <w:tc>
          <w:tcPr>
            <w:tcW w:w="566" w:type="dxa"/>
            <w:tcBorders>
              <w:top w:val="nil"/>
            </w:tcBorders>
            <w:shd w:val="clear" w:color="auto" w:fill="000000" w:themeFill="text1"/>
          </w:tcPr>
          <w:p w14:paraId="12DCFB68" w14:textId="77777777" w:rsidR="003D0045" w:rsidRPr="00001805" w:rsidRDefault="003D0045" w:rsidP="003D0045">
            <w:pPr>
              <w:pStyle w:val="TableParagraph"/>
              <w:rPr>
                <w:rFonts w:ascii="Arial" w:hAnsi="Arial" w:cs="Arial"/>
                <w:color w:val="FFFFFF" w:themeColor="background1"/>
              </w:rPr>
            </w:pPr>
          </w:p>
        </w:tc>
      </w:tr>
      <w:tr w:rsidR="003D0045" w:rsidRPr="00001805" w14:paraId="46F400A6" w14:textId="77777777" w:rsidTr="00E82C37">
        <w:trPr>
          <w:trHeight w:val="316"/>
        </w:trPr>
        <w:tc>
          <w:tcPr>
            <w:tcW w:w="11092" w:type="dxa"/>
            <w:gridSpan w:val="3"/>
            <w:tcBorders>
              <w:top w:val="nil"/>
            </w:tcBorders>
            <w:shd w:val="clear" w:color="auto" w:fill="D9D9D9" w:themeFill="background1" w:themeFillShade="D9"/>
          </w:tcPr>
          <w:p w14:paraId="616DA8DD" w14:textId="5EA1AD12" w:rsidR="003D0045" w:rsidRPr="00001805" w:rsidRDefault="003D0045" w:rsidP="003D0045">
            <w:pPr>
              <w:pStyle w:val="TableParagraph"/>
              <w:rPr>
                <w:rFonts w:ascii="Arial" w:hAnsi="Arial" w:cs="Arial"/>
              </w:rPr>
            </w:pPr>
            <w:r w:rsidRPr="00001805">
              <w:rPr>
                <w:rFonts w:ascii="Arial" w:hAnsi="Arial" w:cs="Arial"/>
              </w:rPr>
              <w:t>Identify the correct scenario below:</w:t>
            </w:r>
          </w:p>
        </w:tc>
      </w:tr>
      <w:tr w:rsidR="003D0045" w:rsidRPr="00001805" w14:paraId="7BFB2C7A" w14:textId="77777777" w:rsidTr="00E82C37">
        <w:trPr>
          <w:trHeight w:val="316"/>
        </w:trPr>
        <w:tc>
          <w:tcPr>
            <w:tcW w:w="9955" w:type="dxa"/>
            <w:tcBorders>
              <w:top w:val="nil"/>
            </w:tcBorders>
          </w:tcPr>
          <w:p w14:paraId="19C9BC65" w14:textId="75A33A9F" w:rsidR="003D0045" w:rsidRPr="00001805" w:rsidRDefault="003D0045" w:rsidP="003D0045">
            <w:pPr>
              <w:pStyle w:val="TableParagraph"/>
              <w:numPr>
                <w:ilvl w:val="0"/>
                <w:numId w:val="10"/>
              </w:numPr>
              <w:spacing w:line="252" w:lineRule="exact"/>
              <w:rPr>
                <w:rFonts w:ascii="Arial" w:hAnsi="Arial" w:cs="Arial"/>
              </w:rPr>
            </w:pPr>
            <w:r>
              <w:rPr>
                <w:rFonts w:ascii="Arial" w:hAnsi="Arial" w:cs="Arial"/>
              </w:rPr>
              <w:t>Movement of clean naturally occurring materials to another development site</w:t>
            </w:r>
          </w:p>
        </w:tc>
        <w:tc>
          <w:tcPr>
            <w:tcW w:w="571" w:type="dxa"/>
            <w:tcBorders>
              <w:top w:val="nil"/>
            </w:tcBorders>
          </w:tcPr>
          <w:p w14:paraId="6B4D2B3B" w14:textId="77777777" w:rsidR="003D0045" w:rsidRPr="00001805" w:rsidRDefault="003D0045" w:rsidP="003D0045">
            <w:pPr>
              <w:pStyle w:val="TableParagraph"/>
              <w:rPr>
                <w:rFonts w:ascii="Arial" w:hAnsi="Arial" w:cs="Arial"/>
              </w:rPr>
            </w:pPr>
          </w:p>
        </w:tc>
        <w:tc>
          <w:tcPr>
            <w:tcW w:w="566" w:type="dxa"/>
            <w:tcBorders>
              <w:top w:val="nil"/>
            </w:tcBorders>
          </w:tcPr>
          <w:p w14:paraId="0A806DA6" w14:textId="77777777" w:rsidR="003D0045" w:rsidRPr="00001805" w:rsidRDefault="003D0045" w:rsidP="003D0045">
            <w:pPr>
              <w:pStyle w:val="TableParagraph"/>
              <w:rPr>
                <w:rFonts w:ascii="Arial" w:hAnsi="Arial" w:cs="Arial"/>
              </w:rPr>
            </w:pPr>
          </w:p>
        </w:tc>
      </w:tr>
      <w:tr w:rsidR="003D0045" w:rsidRPr="00001805" w14:paraId="6674AC27" w14:textId="77777777" w:rsidTr="00E82C37">
        <w:trPr>
          <w:trHeight w:val="316"/>
        </w:trPr>
        <w:tc>
          <w:tcPr>
            <w:tcW w:w="9955" w:type="dxa"/>
            <w:tcBorders>
              <w:top w:val="nil"/>
            </w:tcBorders>
          </w:tcPr>
          <w:p w14:paraId="6DE646D8" w14:textId="0946703C" w:rsidR="003D0045" w:rsidRPr="00001805" w:rsidRDefault="00004B5D" w:rsidP="003D0045">
            <w:pPr>
              <w:pStyle w:val="TableParagraph"/>
              <w:numPr>
                <w:ilvl w:val="0"/>
                <w:numId w:val="10"/>
              </w:numPr>
              <w:spacing w:line="252" w:lineRule="exact"/>
              <w:rPr>
                <w:rFonts w:ascii="Arial" w:hAnsi="Arial" w:cs="Arial"/>
              </w:rPr>
            </w:pPr>
            <w:r>
              <w:rPr>
                <w:rFonts w:ascii="Arial" w:hAnsi="Arial" w:cs="Arial"/>
              </w:rPr>
              <w:t>On site use of brownfield soils without treatment</w:t>
            </w:r>
          </w:p>
        </w:tc>
        <w:tc>
          <w:tcPr>
            <w:tcW w:w="571" w:type="dxa"/>
            <w:tcBorders>
              <w:top w:val="nil"/>
            </w:tcBorders>
          </w:tcPr>
          <w:p w14:paraId="3638B67E" w14:textId="77777777" w:rsidR="003D0045" w:rsidRPr="00001805" w:rsidRDefault="003D0045" w:rsidP="003D0045">
            <w:pPr>
              <w:pStyle w:val="TableParagraph"/>
              <w:rPr>
                <w:rFonts w:ascii="Arial" w:hAnsi="Arial" w:cs="Arial"/>
              </w:rPr>
            </w:pPr>
          </w:p>
        </w:tc>
        <w:tc>
          <w:tcPr>
            <w:tcW w:w="566" w:type="dxa"/>
            <w:tcBorders>
              <w:top w:val="nil"/>
            </w:tcBorders>
          </w:tcPr>
          <w:p w14:paraId="38BDDA83" w14:textId="77777777" w:rsidR="003D0045" w:rsidRPr="00001805" w:rsidRDefault="003D0045" w:rsidP="003D0045">
            <w:pPr>
              <w:pStyle w:val="TableParagraph"/>
              <w:rPr>
                <w:rFonts w:ascii="Arial" w:hAnsi="Arial" w:cs="Arial"/>
              </w:rPr>
            </w:pPr>
          </w:p>
        </w:tc>
      </w:tr>
      <w:tr w:rsidR="003D0045" w:rsidRPr="00001805" w14:paraId="0256E0B8" w14:textId="77777777" w:rsidTr="00E82C37">
        <w:trPr>
          <w:trHeight w:val="316"/>
        </w:trPr>
        <w:tc>
          <w:tcPr>
            <w:tcW w:w="9955" w:type="dxa"/>
            <w:tcBorders>
              <w:top w:val="nil"/>
            </w:tcBorders>
          </w:tcPr>
          <w:p w14:paraId="2E07C5BF" w14:textId="5D3BB21B" w:rsidR="003D0045" w:rsidRPr="00001805" w:rsidRDefault="00004B5D" w:rsidP="003D0045">
            <w:pPr>
              <w:pStyle w:val="TableParagraph"/>
              <w:numPr>
                <w:ilvl w:val="0"/>
                <w:numId w:val="10"/>
              </w:numPr>
              <w:spacing w:line="252" w:lineRule="exact"/>
              <w:rPr>
                <w:rFonts w:ascii="Arial" w:hAnsi="Arial" w:cs="Arial"/>
              </w:rPr>
            </w:pPr>
            <w:r>
              <w:rPr>
                <w:rFonts w:ascii="Arial" w:hAnsi="Arial" w:cs="Arial"/>
              </w:rPr>
              <w:t>On site use of brownfield soils with treatment</w:t>
            </w:r>
          </w:p>
        </w:tc>
        <w:tc>
          <w:tcPr>
            <w:tcW w:w="571" w:type="dxa"/>
            <w:tcBorders>
              <w:top w:val="nil"/>
            </w:tcBorders>
          </w:tcPr>
          <w:p w14:paraId="7B39FC5C" w14:textId="77777777" w:rsidR="003D0045" w:rsidRPr="00001805" w:rsidRDefault="003D0045" w:rsidP="003D0045">
            <w:pPr>
              <w:pStyle w:val="TableParagraph"/>
              <w:rPr>
                <w:rFonts w:ascii="Arial" w:hAnsi="Arial" w:cs="Arial"/>
              </w:rPr>
            </w:pPr>
          </w:p>
        </w:tc>
        <w:tc>
          <w:tcPr>
            <w:tcW w:w="566" w:type="dxa"/>
            <w:tcBorders>
              <w:top w:val="nil"/>
            </w:tcBorders>
          </w:tcPr>
          <w:p w14:paraId="7A935CAA" w14:textId="77777777" w:rsidR="003D0045" w:rsidRPr="00001805" w:rsidRDefault="003D0045" w:rsidP="003D0045">
            <w:pPr>
              <w:pStyle w:val="TableParagraph"/>
              <w:rPr>
                <w:rFonts w:ascii="Arial" w:hAnsi="Arial" w:cs="Arial"/>
              </w:rPr>
            </w:pPr>
          </w:p>
        </w:tc>
      </w:tr>
    </w:tbl>
    <w:p w14:paraId="6B4F79EA" w14:textId="77777777" w:rsidR="007935DB" w:rsidRDefault="007935DB" w:rsidP="008E41B2">
      <w:pPr>
        <w:widowControl/>
        <w:autoSpaceDE/>
        <w:autoSpaceDN/>
        <w:ind w:left="567" w:right="567"/>
        <w:jc w:val="both"/>
        <w:rPr>
          <w:rFonts w:ascii="Arial" w:eastAsia="Calibri" w:hAnsi="Arial" w:cs="Arial"/>
        </w:rPr>
      </w:pPr>
    </w:p>
    <w:p w14:paraId="52C6579F" w14:textId="77777777" w:rsidR="007935DB" w:rsidRDefault="007935DB" w:rsidP="008E41B2">
      <w:pPr>
        <w:widowControl/>
        <w:autoSpaceDE/>
        <w:autoSpaceDN/>
        <w:ind w:left="567" w:right="567"/>
        <w:jc w:val="both"/>
        <w:rPr>
          <w:rFonts w:ascii="Arial" w:eastAsia="Calibri" w:hAnsi="Arial" w:cs="Arial"/>
        </w:rPr>
      </w:pPr>
    </w:p>
    <w:p w14:paraId="40505424" w14:textId="77777777" w:rsidR="007935DB" w:rsidRDefault="007935DB" w:rsidP="008E41B2">
      <w:pPr>
        <w:widowControl/>
        <w:autoSpaceDE/>
        <w:autoSpaceDN/>
        <w:ind w:left="567" w:right="567"/>
        <w:jc w:val="both"/>
        <w:rPr>
          <w:rFonts w:ascii="Arial" w:eastAsia="Calibri" w:hAnsi="Arial" w:cs="Arial"/>
        </w:rPr>
      </w:pPr>
    </w:p>
    <w:p w14:paraId="1E1AAE8E" w14:textId="77777777" w:rsidR="007935DB" w:rsidRDefault="007935DB" w:rsidP="008E41B2">
      <w:pPr>
        <w:widowControl/>
        <w:autoSpaceDE/>
        <w:autoSpaceDN/>
        <w:ind w:left="567" w:right="567"/>
        <w:jc w:val="both"/>
        <w:rPr>
          <w:rFonts w:ascii="Arial" w:eastAsia="Calibri" w:hAnsi="Arial" w:cs="Arial"/>
        </w:rPr>
      </w:pPr>
    </w:p>
    <w:p w14:paraId="2C39C025" w14:textId="77777777" w:rsidR="007935DB" w:rsidRDefault="007935DB" w:rsidP="008E41B2">
      <w:pPr>
        <w:widowControl/>
        <w:autoSpaceDE/>
        <w:autoSpaceDN/>
        <w:ind w:left="567" w:right="567"/>
        <w:jc w:val="both"/>
        <w:rPr>
          <w:rFonts w:ascii="Arial" w:eastAsia="Calibri" w:hAnsi="Arial" w:cs="Arial"/>
        </w:rPr>
      </w:pPr>
    </w:p>
    <w:p w14:paraId="46B9C564" w14:textId="77777777" w:rsidR="007935DB" w:rsidRDefault="007935DB" w:rsidP="008E41B2">
      <w:pPr>
        <w:widowControl/>
        <w:autoSpaceDE/>
        <w:autoSpaceDN/>
        <w:ind w:left="567" w:right="567"/>
        <w:jc w:val="both"/>
        <w:rPr>
          <w:rFonts w:ascii="Arial" w:eastAsia="Calibri" w:hAnsi="Arial" w:cs="Arial"/>
        </w:rPr>
      </w:pPr>
    </w:p>
    <w:p w14:paraId="035681EF" w14:textId="77777777" w:rsidR="00004B5D" w:rsidRDefault="00004B5D" w:rsidP="00004B5D">
      <w:pPr>
        <w:pStyle w:val="ListParagraph"/>
        <w:widowControl/>
        <w:autoSpaceDE/>
        <w:autoSpaceDN/>
        <w:ind w:left="927" w:right="567"/>
        <w:jc w:val="both"/>
        <w:rPr>
          <w:rFonts w:ascii="Arial" w:eastAsia="Calibri" w:hAnsi="Arial" w:cs="Arial"/>
          <w:b/>
          <w:bCs/>
        </w:rPr>
      </w:pPr>
    </w:p>
    <w:p w14:paraId="70D192DA" w14:textId="77777777" w:rsidR="005B4A61" w:rsidRDefault="005B4A61" w:rsidP="00004B5D">
      <w:pPr>
        <w:pStyle w:val="ListParagraph"/>
        <w:widowControl/>
        <w:autoSpaceDE/>
        <w:autoSpaceDN/>
        <w:ind w:left="927" w:right="567"/>
        <w:jc w:val="both"/>
        <w:rPr>
          <w:rFonts w:ascii="Arial" w:eastAsia="Calibri" w:hAnsi="Arial" w:cs="Arial"/>
          <w:b/>
          <w:bCs/>
        </w:rPr>
      </w:pPr>
    </w:p>
    <w:p w14:paraId="7B5FB356" w14:textId="77777777" w:rsidR="005B4A61" w:rsidRDefault="005B4A61" w:rsidP="00004B5D">
      <w:pPr>
        <w:pStyle w:val="ListParagraph"/>
        <w:widowControl/>
        <w:autoSpaceDE/>
        <w:autoSpaceDN/>
        <w:ind w:left="927" w:right="567"/>
        <w:jc w:val="both"/>
        <w:rPr>
          <w:rFonts w:ascii="Arial" w:eastAsia="Calibri" w:hAnsi="Arial" w:cs="Arial"/>
          <w:b/>
          <w:bCs/>
        </w:rPr>
      </w:pPr>
    </w:p>
    <w:p w14:paraId="43324478" w14:textId="4779CB8C" w:rsidR="00004B5D" w:rsidRPr="00004B5D" w:rsidRDefault="00004B5D" w:rsidP="00004B5D">
      <w:pPr>
        <w:pStyle w:val="ListParagraph"/>
        <w:widowControl/>
        <w:autoSpaceDE/>
        <w:autoSpaceDN/>
        <w:ind w:left="927" w:right="567"/>
        <w:jc w:val="both"/>
        <w:rPr>
          <w:rFonts w:ascii="Arial" w:eastAsia="Calibri" w:hAnsi="Arial" w:cs="Arial"/>
          <w:b/>
          <w:bCs/>
          <w:u w:val="single"/>
        </w:rPr>
      </w:pPr>
      <w:r w:rsidRPr="00004B5D">
        <w:rPr>
          <w:rFonts w:ascii="Arial" w:eastAsia="Calibri" w:hAnsi="Arial" w:cs="Arial"/>
          <w:b/>
          <w:bCs/>
          <w:u w:val="single"/>
        </w:rPr>
        <w:t xml:space="preserve">Scenario </w:t>
      </w:r>
      <w:r w:rsidR="00C80BA2">
        <w:rPr>
          <w:rFonts w:ascii="Arial" w:eastAsia="Calibri" w:hAnsi="Arial" w:cs="Arial"/>
          <w:b/>
          <w:bCs/>
          <w:u w:val="single"/>
        </w:rPr>
        <w:t>A</w:t>
      </w:r>
    </w:p>
    <w:p w14:paraId="117061C7" w14:textId="77777777" w:rsidR="00C80BA2" w:rsidRDefault="00C80BA2" w:rsidP="00004B5D">
      <w:pPr>
        <w:pStyle w:val="ListParagraph"/>
        <w:widowControl/>
        <w:autoSpaceDE/>
        <w:autoSpaceDN/>
        <w:ind w:left="927" w:right="567"/>
        <w:jc w:val="both"/>
        <w:rPr>
          <w:rFonts w:ascii="Arial" w:eastAsia="Calibri" w:hAnsi="Arial" w:cs="Arial"/>
          <w:b/>
          <w:bCs/>
          <w:u w:val="single"/>
        </w:rPr>
      </w:pPr>
    </w:p>
    <w:tbl>
      <w:tblPr>
        <w:tblStyle w:val="TableGrid"/>
        <w:tblW w:w="0" w:type="auto"/>
        <w:tblInd w:w="846" w:type="dxa"/>
        <w:tblLook w:val="04A0" w:firstRow="1" w:lastRow="0" w:firstColumn="1" w:lastColumn="0" w:noHBand="0" w:noVBand="1"/>
      </w:tblPr>
      <w:tblGrid>
        <w:gridCol w:w="7938"/>
        <w:gridCol w:w="930"/>
        <w:gridCol w:w="942"/>
      </w:tblGrid>
      <w:tr w:rsidR="00C80BA2" w14:paraId="1EA95C8E" w14:textId="77777777" w:rsidTr="00C80BA2">
        <w:tc>
          <w:tcPr>
            <w:tcW w:w="7938" w:type="dxa"/>
            <w:shd w:val="clear" w:color="auto" w:fill="B8CCE4" w:themeFill="accent1" w:themeFillTint="66"/>
          </w:tcPr>
          <w:p w14:paraId="70495058" w14:textId="1BDBA58C" w:rsidR="00C80BA2" w:rsidRDefault="00C80BA2" w:rsidP="00004B5D">
            <w:pPr>
              <w:pStyle w:val="ListParagraph"/>
              <w:ind w:right="567"/>
              <w:jc w:val="both"/>
              <w:rPr>
                <w:rFonts w:ascii="Arial" w:eastAsia="Calibri" w:hAnsi="Arial" w:cs="Arial"/>
                <w:b/>
                <w:bCs/>
                <w:u w:val="single"/>
              </w:rPr>
            </w:pPr>
            <w:r>
              <w:rPr>
                <w:rFonts w:ascii="Arial" w:eastAsia="Calibri" w:hAnsi="Arial" w:cs="Arial"/>
                <w:b/>
                <w:bCs/>
                <w:u w:val="single"/>
              </w:rPr>
              <w:t>Check</w:t>
            </w:r>
          </w:p>
        </w:tc>
        <w:tc>
          <w:tcPr>
            <w:tcW w:w="930" w:type="dxa"/>
            <w:shd w:val="clear" w:color="auto" w:fill="B8CCE4" w:themeFill="accent1" w:themeFillTint="66"/>
          </w:tcPr>
          <w:p w14:paraId="479C238C" w14:textId="100B3D94" w:rsidR="00C80BA2" w:rsidRDefault="00C80BA2" w:rsidP="00C80BA2">
            <w:pPr>
              <w:pStyle w:val="ListParagraph"/>
              <w:ind w:right="567"/>
              <w:jc w:val="center"/>
              <w:rPr>
                <w:rFonts w:ascii="Arial" w:eastAsia="Calibri" w:hAnsi="Arial" w:cs="Arial"/>
                <w:b/>
                <w:bCs/>
                <w:u w:val="single"/>
              </w:rPr>
            </w:pPr>
            <w:r>
              <w:rPr>
                <w:rFonts w:ascii="Arial" w:eastAsia="Calibri" w:hAnsi="Arial" w:cs="Arial"/>
                <w:b/>
                <w:bCs/>
                <w:u w:val="single"/>
              </w:rPr>
              <w:t>Y</w:t>
            </w:r>
          </w:p>
        </w:tc>
        <w:tc>
          <w:tcPr>
            <w:tcW w:w="942" w:type="dxa"/>
            <w:shd w:val="clear" w:color="auto" w:fill="B8CCE4" w:themeFill="accent1" w:themeFillTint="66"/>
          </w:tcPr>
          <w:p w14:paraId="1E14CA80" w14:textId="1D212D5E" w:rsidR="00C80BA2" w:rsidRDefault="00C80BA2" w:rsidP="00C80BA2">
            <w:pPr>
              <w:pStyle w:val="ListParagraph"/>
              <w:ind w:right="567"/>
              <w:jc w:val="center"/>
              <w:rPr>
                <w:rFonts w:ascii="Arial" w:eastAsia="Calibri" w:hAnsi="Arial" w:cs="Arial"/>
                <w:b/>
                <w:bCs/>
                <w:u w:val="single"/>
              </w:rPr>
            </w:pPr>
            <w:r>
              <w:rPr>
                <w:rFonts w:ascii="Arial" w:eastAsia="Calibri" w:hAnsi="Arial" w:cs="Arial"/>
                <w:b/>
                <w:bCs/>
                <w:u w:val="single"/>
              </w:rPr>
              <w:t>N</w:t>
            </w:r>
          </w:p>
        </w:tc>
      </w:tr>
      <w:tr w:rsidR="00C80BA2" w14:paraId="2D3254D5" w14:textId="77777777" w:rsidTr="00C80BA2">
        <w:tc>
          <w:tcPr>
            <w:tcW w:w="7938" w:type="dxa"/>
          </w:tcPr>
          <w:p w14:paraId="62507512" w14:textId="1983EC0F" w:rsidR="00C80BA2" w:rsidRPr="00C80BA2" w:rsidRDefault="00C80BA2" w:rsidP="00004B5D">
            <w:pPr>
              <w:pStyle w:val="ListParagraph"/>
              <w:ind w:right="567"/>
              <w:jc w:val="both"/>
              <w:rPr>
                <w:rFonts w:ascii="Arial" w:eastAsia="Calibri" w:hAnsi="Arial" w:cs="Arial"/>
              </w:rPr>
            </w:pPr>
            <w:r w:rsidRPr="00C80BA2">
              <w:rPr>
                <w:rFonts w:ascii="Arial" w:eastAsia="Calibri" w:hAnsi="Arial" w:cs="Arial"/>
              </w:rPr>
              <w:t>Check that the development site will only use topsoil/subsoil to depths as outlined in Table 1.</w:t>
            </w:r>
          </w:p>
        </w:tc>
        <w:tc>
          <w:tcPr>
            <w:tcW w:w="930" w:type="dxa"/>
          </w:tcPr>
          <w:p w14:paraId="43A82A4D" w14:textId="77777777" w:rsidR="00C80BA2" w:rsidRDefault="00C80BA2" w:rsidP="00004B5D">
            <w:pPr>
              <w:pStyle w:val="ListParagraph"/>
              <w:ind w:right="567"/>
              <w:jc w:val="both"/>
              <w:rPr>
                <w:rFonts w:ascii="Arial" w:eastAsia="Calibri" w:hAnsi="Arial" w:cs="Arial"/>
                <w:b/>
                <w:bCs/>
                <w:u w:val="single"/>
              </w:rPr>
            </w:pPr>
          </w:p>
        </w:tc>
        <w:tc>
          <w:tcPr>
            <w:tcW w:w="942" w:type="dxa"/>
          </w:tcPr>
          <w:p w14:paraId="256BA1FE" w14:textId="77777777" w:rsidR="00C80BA2" w:rsidRDefault="00C80BA2" w:rsidP="00004B5D">
            <w:pPr>
              <w:pStyle w:val="ListParagraph"/>
              <w:ind w:right="567"/>
              <w:jc w:val="both"/>
              <w:rPr>
                <w:rFonts w:ascii="Arial" w:eastAsia="Calibri" w:hAnsi="Arial" w:cs="Arial"/>
                <w:b/>
                <w:bCs/>
                <w:u w:val="single"/>
              </w:rPr>
            </w:pPr>
          </w:p>
        </w:tc>
      </w:tr>
      <w:tr w:rsidR="00C80BA2" w14:paraId="26CCC249" w14:textId="77777777" w:rsidTr="00C80BA2">
        <w:tc>
          <w:tcPr>
            <w:tcW w:w="7938" w:type="dxa"/>
          </w:tcPr>
          <w:p w14:paraId="7EED34C2" w14:textId="1A1584F2" w:rsidR="00C80BA2" w:rsidRPr="00C80BA2" w:rsidRDefault="00C80BA2" w:rsidP="00004B5D">
            <w:pPr>
              <w:pStyle w:val="ListParagraph"/>
              <w:ind w:right="567"/>
              <w:jc w:val="both"/>
              <w:rPr>
                <w:rFonts w:ascii="Arial" w:eastAsia="Calibri" w:hAnsi="Arial" w:cs="Arial"/>
                <w:b/>
                <w:bCs/>
                <w:u w:val="single"/>
              </w:rPr>
            </w:pPr>
            <w:r w:rsidRPr="00C80BA2">
              <w:rPr>
                <w:rFonts w:ascii="Arial" w:hAnsi="Arial" w:cs="Arial"/>
              </w:rPr>
              <w:t>If answer ‘</w:t>
            </w:r>
            <w:r w:rsidRPr="00C80BA2">
              <w:rPr>
                <w:rFonts w:ascii="Arial" w:hAnsi="Arial" w:cs="Arial"/>
                <w:color w:val="00B050"/>
              </w:rPr>
              <w:t>yes</w:t>
            </w:r>
            <w:r w:rsidRPr="00C80BA2">
              <w:rPr>
                <w:rFonts w:ascii="Arial" w:hAnsi="Arial" w:cs="Arial"/>
              </w:rPr>
              <w:t xml:space="preserve">’ above, ensure </w:t>
            </w:r>
            <w:r w:rsidR="00C73F6B">
              <w:rPr>
                <w:rFonts w:ascii="Arial" w:hAnsi="Arial" w:cs="Arial"/>
              </w:rPr>
              <w:t>d</w:t>
            </w:r>
            <w:r w:rsidRPr="00C80BA2">
              <w:rPr>
                <w:rFonts w:ascii="Arial" w:hAnsi="Arial" w:cs="Arial"/>
              </w:rPr>
              <w:t>eclaration is made to SEPA</w:t>
            </w:r>
          </w:p>
        </w:tc>
        <w:tc>
          <w:tcPr>
            <w:tcW w:w="930" w:type="dxa"/>
          </w:tcPr>
          <w:p w14:paraId="6D0DFE52" w14:textId="77777777" w:rsidR="00C80BA2" w:rsidRDefault="00C80BA2" w:rsidP="00004B5D">
            <w:pPr>
              <w:pStyle w:val="ListParagraph"/>
              <w:ind w:right="567"/>
              <w:jc w:val="both"/>
              <w:rPr>
                <w:rFonts w:ascii="Arial" w:eastAsia="Calibri" w:hAnsi="Arial" w:cs="Arial"/>
                <w:b/>
                <w:bCs/>
                <w:u w:val="single"/>
              </w:rPr>
            </w:pPr>
          </w:p>
        </w:tc>
        <w:tc>
          <w:tcPr>
            <w:tcW w:w="942" w:type="dxa"/>
          </w:tcPr>
          <w:p w14:paraId="4CE275C4" w14:textId="77777777" w:rsidR="00C80BA2" w:rsidRDefault="00C80BA2" w:rsidP="00004B5D">
            <w:pPr>
              <w:pStyle w:val="ListParagraph"/>
              <w:ind w:right="567"/>
              <w:jc w:val="both"/>
              <w:rPr>
                <w:rFonts w:ascii="Arial" w:eastAsia="Calibri" w:hAnsi="Arial" w:cs="Arial"/>
                <w:b/>
                <w:bCs/>
                <w:u w:val="single"/>
              </w:rPr>
            </w:pPr>
          </w:p>
        </w:tc>
      </w:tr>
      <w:tr w:rsidR="00C80BA2" w14:paraId="2D1EDE20" w14:textId="77777777" w:rsidTr="00C80BA2">
        <w:tc>
          <w:tcPr>
            <w:tcW w:w="7938" w:type="dxa"/>
          </w:tcPr>
          <w:p w14:paraId="70C27651" w14:textId="305B0BAD" w:rsidR="00C80BA2" w:rsidRPr="00C80BA2" w:rsidRDefault="00C80BA2" w:rsidP="00C80BA2">
            <w:pPr>
              <w:pStyle w:val="ListParagraph"/>
              <w:ind w:right="567"/>
              <w:jc w:val="both"/>
              <w:rPr>
                <w:rFonts w:ascii="Arial" w:hAnsi="Arial" w:cs="Arial"/>
              </w:rPr>
            </w:pPr>
            <w:r w:rsidRPr="00001805">
              <w:rPr>
                <w:rFonts w:ascii="Arial" w:hAnsi="Arial" w:cs="Arial"/>
              </w:rPr>
              <w:t>If answer ‘</w:t>
            </w:r>
            <w:r w:rsidRPr="00001805">
              <w:rPr>
                <w:rFonts w:ascii="Arial" w:hAnsi="Arial" w:cs="Arial"/>
                <w:color w:val="FF0000"/>
              </w:rPr>
              <w:t>no</w:t>
            </w:r>
            <w:r w:rsidRPr="00001805">
              <w:rPr>
                <w:rFonts w:ascii="Arial" w:hAnsi="Arial" w:cs="Arial"/>
              </w:rPr>
              <w:t>’ above</w:t>
            </w:r>
            <w:r w:rsidR="00C73F6B">
              <w:rPr>
                <w:rFonts w:ascii="Arial" w:hAnsi="Arial" w:cs="Arial"/>
              </w:rPr>
              <w:t>,</w:t>
            </w:r>
            <w:r w:rsidRPr="00001805">
              <w:rPr>
                <w:rFonts w:ascii="Arial" w:hAnsi="Arial" w:cs="Arial"/>
              </w:rPr>
              <w:t xml:space="preserve"> </w:t>
            </w:r>
            <w:r>
              <w:rPr>
                <w:rFonts w:ascii="Arial" w:hAnsi="Arial" w:cs="Arial"/>
              </w:rPr>
              <w:t>register relevant exemption with SEPA</w:t>
            </w:r>
          </w:p>
        </w:tc>
        <w:tc>
          <w:tcPr>
            <w:tcW w:w="930" w:type="dxa"/>
          </w:tcPr>
          <w:p w14:paraId="6F41E59A" w14:textId="77777777" w:rsidR="00C80BA2" w:rsidRDefault="00C80BA2" w:rsidP="00C80BA2">
            <w:pPr>
              <w:pStyle w:val="ListParagraph"/>
              <w:ind w:right="567"/>
              <w:jc w:val="both"/>
              <w:rPr>
                <w:rFonts w:ascii="Arial" w:eastAsia="Calibri" w:hAnsi="Arial" w:cs="Arial"/>
                <w:b/>
                <w:bCs/>
                <w:u w:val="single"/>
              </w:rPr>
            </w:pPr>
          </w:p>
        </w:tc>
        <w:tc>
          <w:tcPr>
            <w:tcW w:w="942" w:type="dxa"/>
          </w:tcPr>
          <w:p w14:paraId="4E123F9A" w14:textId="77777777" w:rsidR="00C80BA2" w:rsidRDefault="00C80BA2" w:rsidP="00C80BA2">
            <w:pPr>
              <w:pStyle w:val="ListParagraph"/>
              <w:ind w:right="567"/>
              <w:jc w:val="both"/>
              <w:rPr>
                <w:rFonts w:ascii="Arial" w:eastAsia="Calibri" w:hAnsi="Arial" w:cs="Arial"/>
                <w:b/>
                <w:bCs/>
                <w:u w:val="single"/>
              </w:rPr>
            </w:pPr>
          </w:p>
        </w:tc>
      </w:tr>
      <w:tr w:rsidR="00C73F6B" w14:paraId="71817AE3" w14:textId="77777777" w:rsidTr="00C80BA2">
        <w:tc>
          <w:tcPr>
            <w:tcW w:w="7938" w:type="dxa"/>
          </w:tcPr>
          <w:p w14:paraId="329F18AD" w14:textId="4A0CD704" w:rsidR="00C73F6B" w:rsidRPr="00001805" w:rsidRDefault="00C73F6B" w:rsidP="00C80BA2">
            <w:pPr>
              <w:pStyle w:val="ListParagraph"/>
              <w:ind w:right="567"/>
              <w:jc w:val="both"/>
              <w:rPr>
                <w:rFonts w:ascii="Arial" w:hAnsi="Arial" w:cs="Arial"/>
              </w:rPr>
            </w:pPr>
            <w:r>
              <w:rPr>
                <w:rFonts w:ascii="Arial" w:hAnsi="Arial" w:cs="Arial"/>
              </w:rPr>
              <w:t>Tick box to demonstrate declaration</w:t>
            </w:r>
            <w:r w:rsidR="003F5642">
              <w:rPr>
                <w:rFonts w:ascii="Arial" w:hAnsi="Arial" w:cs="Arial"/>
              </w:rPr>
              <w:t xml:space="preserve"> made</w:t>
            </w:r>
            <w:r>
              <w:rPr>
                <w:rFonts w:ascii="Arial" w:hAnsi="Arial" w:cs="Arial"/>
              </w:rPr>
              <w:t xml:space="preserve"> or exemption received – no </w:t>
            </w:r>
            <w:r w:rsidR="00454F15">
              <w:rPr>
                <w:rFonts w:ascii="Arial" w:hAnsi="Arial" w:cs="Arial"/>
              </w:rPr>
              <w:t xml:space="preserve">soils can be dispatched </w:t>
            </w:r>
            <w:r>
              <w:rPr>
                <w:rFonts w:ascii="Arial" w:hAnsi="Arial" w:cs="Arial"/>
              </w:rPr>
              <w:t xml:space="preserve">until </w:t>
            </w:r>
            <w:r w:rsidR="00454F15">
              <w:rPr>
                <w:rFonts w:ascii="Arial" w:hAnsi="Arial" w:cs="Arial"/>
              </w:rPr>
              <w:t>such time.</w:t>
            </w:r>
          </w:p>
        </w:tc>
        <w:tc>
          <w:tcPr>
            <w:tcW w:w="930" w:type="dxa"/>
          </w:tcPr>
          <w:p w14:paraId="1C827C11" w14:textId="77777777" w:rsidR="00C73F6B" w:rsidRDefault="00C73F6B" w:rsidP="00C80BA2">
            <w:pPr>
              <w:pStyle w:val="ListParagraph"/>
              <w:ind w:right="567"/>
              <w:jc w:val="both"/>
              <w:rPr>
                <w:rFonts w:ascii="Arial" w:eastAsia="Calibri" w:hAnsi="Arial" w:cs="Arial"/>
                <w:b/>
                <w:bCs/>
                <w:u w:val="single"/>
              </w:rPr>
            </w:pPr>
          </w:p>
        </w:tc>
        <w:tc>
          <w:tcPr>
            <w:tcW w:w="942" w:type="dxa"/>
          </w:tcPr>
          <w:p w14:paraId="54DE5C23" w14:textId="77777777" w:rsidR="00C73F6B" w:rsidRDefault="00C73F6B" w:rsidP="00C80BA2">
            <w:pPr>
              <w:pStyle w:val="ListParagraph"/>
              <w:ind w:right="567"/>
              <w:jc w:val="both"/>
              <w:rPr>
                <w:rFonts w:ascii="Arial" w:eastAsia="Calibri" w:hAnsi="Arial" w:cs="Arial"/>
                <w:b/>
                <w:bCs/>
                <w:u w:val="single"/>
              </w:rPr>
            </w:pPr>
          </w:p>
        </w:tc>
      </w:tr>
    </w:tbl>
    <w:p w14:paraId="5228263F" w14:textId="77777777" w:rsidR="00C80BA2" w:rsidRPr="003F5642" w:rsidRDefault="00C80BA2" w:rsidP="00004B5D">
      <w:pPr>
        <w:pStyle w:val="ListParagraph"/>
        <w:widowControl/>
        <w:autoSpaceDE/>
        <w:autoSpaceDN/>
        <w:ind w:left="927" w:right="567"/>
        <w:jc w:val="both"/>
        <w:rPr>
          <w:rFonts w:ascii="Arial" w:eastAsia="Calibri" w:hAnsi="Arial" w:cs="Arial"/>
        </w:rPr>
      </w:pPr>
    </w:p>
    <w:p w14:paraId="497FE2F1" w14:textId="663C26FD" w:rsidR="002C67D6" w:rsidRPr="002C67D6" w:rsidRDefault="003F5642" w:rsidP="002C67D6">
      <w:pPr>
        <w:pStyle w:val="ListParagraph"/>
        <w:widowControl/>
        <w:autoSpaceDE/>
        <w:autoSpaceDN/>
        <w:ind w:left="927" w:right="567"/>
        <w:jc w:val="both"/>
        <w:rPr>
          <w:rFonts w:ascii="Arial" w:eastAsia="Calibri" w:hAnsi="Arial" w:cs="Arial"/>
        </w:rPr>
      </w:pPr>
      <w:r w:rsidRPr="003F5642">
        <w:rPr>
          <w:rFonts w:ascii="Arial" w:eastAsia="Calibri" w:hAnsi="Arial" w:cs="Arial"/>
        </w:rPr>
        <w:t xml:space="preserve">Note – SEPA will </w:t>
      </w:r>
      <w:r>
        <w:rPr>
          <w:rFonts w:ascii="Arial" w:eastAsia="Calibri" w:hAnsi="Arial" w:cs="Arial"/>
        </w:rPr>
        <w:t>not confirm receipt of your declaration, so electronic records must be kept.</w:t>
      </w:r>
      <w:r w:rsidR="00BD387B" w:rsidRPr="00BD387B">
        <w:t xml:space="preserve"> </w:t>
      </w:r>
      <w:r w:rsidR="00BD387B" w:rsidRPr="00BD387B">
        <w:rPr>
          <w:rFonts w:ascii="Arial" w:eastAsia="Calibri" w:hAnsi="Arial" w:cs="Arial"/>
        </w:rPr>
        <w:t xml:space="preserve">A copy of the declaration form should be retained for two </w:t>
      </w:r>
      <w:r w:rsidR="00454F15" w:rsidRPr="00BD387B">
        <w:rPr>
          <w:rFonts w:ascii="Arial" w:eastAsia="Calibri" w:hAnsi="Arial" w:cs="Arial"/>
        </w:rPr>
        <w:t>years.</w:t>
      </w:r>
    </w:p>
    <w:p w14:paraId="445DAC2F" w14:textId="77777777" w:rsidR="003F5642" w:rsidRDefault="003F5642" w:rsidP="00004B5D">
      <w:pPr>
        <w:pStyle w:val="ListParagraph"/>
        <w:widowControl/>
        <w:autoSpaceDE/>
        <w:autoSpaceDN/>
        <w:ind w:left="927" w:right="567"/>
        <w:jc w:val="both"/>
        <w:rPr>
          <w:rFonts w:ascii="Arial" w:eastAsia="Calibri" w:hAnsi="Arial" w:cs="Arial"/>
          <w:b/>
          <w:bCs/>
          <w:u w:val="single"/>
        </w:rPr>
      </w:pPr>
    </w:p>
    <w:p w14:paraId="071281D1" w14:textId="69501341" w:rsidR="00004B5D" w:rsidRDefault="00004B5D" w:rsidP="00004B5D">
      <w:pPr>
        <w:pStyle w:val="ListParagraph"/>
        <w:widowControl/>
        <w:autoSpaceDE/>
        <w:autoSpaceDN/>
        <w:ind w:left="927" w:right="567"/>
        <w:jc w:val="both"/>
        <w:rPr>
          <w:rFonts w:ascii="Arial" w:eastAsia="Calibri" w:hAnsi="Arial" w:cs="Arial"/>
          <w:b/>
          <w:bCs/>
          <w:u w:val="single"/>
        </w:rPr>
      </w:pPr>
      <w:r w:rsidRPr="00004B5D">
        <w:rPr>
          <w:rFonts w:ascii="Arial" w:eastAsia="Calibri" w:hAnsi="Arial" w:cs="Arial"/>
          <w:b/>
          <w:bCs/>
          <w:u w:val="single"/>
        </w:rPr>
        <w:t>Scenario B</w:t>
      </w:r>
    </w:p>
    <w:p w14:paraId="0E9660F4" w14:textId="77777777" w:rsidR="00004B5D" w:rsidRDefault="00004B5D" w:rsidP="00004B5D">
      <w:pPr>
        <w:pStyle w:val="ListParagraph"/>
        <w:widowControl/>
        <w:autoSpaceDE/>
        <w:autoSpaceDN/>
        <w:ind w:left="927" w:right="567"/>
        <w:jc w:val="both"/>
        <w:rPr>
          <w:rFonts w:ascii="Arial" w:eastAsia="Calibri" w:hAnsi="Arial" w:cs="Arial"/>
          <w:b/>
          <w:bCs/>
          <w:u w:val="single"/>
        </w:rPr>
      </w:pPr>
    </w:p>
    <w:tbl>
      <w:tblPr>
        <w:tblStyle w:val="TableGrid"/>
        <w:tblW w:w="0" w:type="auto"/>
        <w:tblInd w:w="846" w:type="dxa"/>
        <w:tblLook w:val="04A0" w:firstRow="1" w:lastRow="0" w:firstColumn="1" w:lastColumn="0" w:noHBand="0" w:noVBand="1"/>
      </w:tblPr>
      <w:tblGrid>
        <w:gridCol w:w="7938"/>
        <w:gridCol w:w="930"/>
        <w:gridCol w:w="942"/>
      </w:tblGrid>
      <w:tr w:rsidR="00C73F6B" w14:paraId="0BA9FBEE" w14:textId="77777777" w:rsidTr="00E82C37">
        <w:tc>
          <w:tcPr>
            <w:tcW w:w="7938" w:type="dxa"/>
            <w:shd w:val="clear" w:color="auto" w:fill="B8CCE4" w:themeFill="accent1" w:themeFillTint="66"/>
          </w:tcPr>
          <w:p w14:paraId="2BB3C063" w14:textId="77777777" w:rsidR="00C73F6B" w:rsidRDefault="00C73F6B" w:rsidP="00E82C37">
            <w:pPr>
              <w:pStyle w:val="ListParagraph"/>
              <w:ind w:right="567"/>
              <w:jc w:val="both"/>
              <w:rPr>
                <w:rFonts w:ascii="Arial" w:eastAsia="Calibri" w:hAnsi="Arial" w:cs="Arial"/>
                <w:b/>
                <w:bCs/>
                <w:u w:val="single"/>
              </w:rPr>
            </w:pPr>
            <w:r>
              <w:rPr>
                <w:rFonts w:ascii="Arial" w:eastAsia="Calibri" w:hAnsi="Arial" w:cs="Arial"/>
                <w:b/>
                <w:bCs/>
                <w:u w:val="single"/>
              </w:rPr>
              <w:t>Check</w:t>
            </w:r>
          </w:p>
        </w:tc>
        <w:tc>
          <w:tcPr>
            <w:tcW w:w="930" w:type="dxa"/>
            <w:shd w:val="clear" w:color="auto" w:fill="B8CCE4" w:themeFill="accent1" w:themeFillTint="66"/>
          </w:tcPr>
          <w:p w14:paraId="29E86A1C" w14:textId="77777777" w:rsidR="00C73F6B" w:rsidRDefault="00C73F6B" w:rsidP="00E82C37">
            <w:pPr>
              <w:pStyle w:val="ListParagraph"/>
              <w:ind w:right="567"/>
              <w:jc w:val="center"/>
              <w:rPr>
                <w:rFonts w:ascii="Arial" w:eastAsia="Calibri" w:hAnsi="Arial" w:cs="Arial"/>
                <w:b/>
                <w:bCs/>
                <w:u w:val="single"/>
              </w:rPr>
            </w:pPr>
            <w:r>
              <w:rPr>
                <w:rFonts w:ascii="Arial" w:eastAsia="Calibri" w:hAnsi="Arial" w:cs="Arial"/>
                <w:b/>
                <w:bCs/>
                <w:u w:val="single"/>
              </w:rPr>
              <w:t>Y</w:t>
            </w:r>
          </w:p>
        </w:tc>
        <w:tc>
          <w:tcPr>
            <w:tcW w:w="942" w:type="dxa"/>
            <w:shd w:val="clear" w:color="auto" w:fill="B8CCE4" w:themeFill="accent1" w:themeFillTint="66"/>
          </w:tcPr>
          <w:p w14:paraId="543B8D56" w14:textId="77777777" w:rsidR="00C73F6B" w:rsidRDefault="00C73F6B" w:rsidP="00E82C37">
            <w:pPr>
              <w:pStyle w:val="ListParagraph"/>
              <w:ind w:right="567"/>
              <w:jc w:val="center"/>
              <w:rPr>
                <w:rFonts w:ascii="Arial" w:eastAsia="Calibri" w:hAnsi="Arial" w:cs="Arial"/>
                <w:b/>
                <w:bCs/>
                <w:u w:val="single"/>
              </w:rPr>
            </w:pPr>
            <w:r>
              <w:rPr>
                <w:rFonts w:ascii="Arial" w:eastAsia="Calibri" w:hAnsi="Arial" w:cs="Arial"/>
                <w:b/>
                <w:bCs/>
                <w:u w:val="single"/>
              </w:rPr>
              <w:t>N</w:t>
            </w:r>
          </w:p>
        </w:tc>
      </w:tr>
      <w:tr w:rsidR="00C73F6B" w14:paraId="523A47A0" w14:textId="77777777" w:rsidTr="00E82C37">
        <w:tc>
          <w:tcPr>
            <w:tcW w:w="7938" w:type="dxa"/>
          </w:tcPr>
          <w:p w14:paraId="13328B37" w14:textId="017A67AF" w:rsidR="00C73F6B" w:rsidRPr="00C80BA2" w:rsidRDefault="00C73F6B" w:rsidP="00E82C37">
            <w:pPr>
              <w:pStyle w:val="ListParagraph"/>
              <w:ind w:right="567"/>
              <w:jc w:val="both"/>
              <w:rPr>
                <w:rFonts w:ascii="Arial" w:eastAsia="Calibri" w:hAnsi="Arial" w:cs="Arial"/>
              </w:rPr>
            </w:pPr>
            <w:r w:rsidRPr="00C80BA2">
              <w:rPr>
                <w:rFonts w:ascii="Arial" w:eastAsia="Calibri" w:hAnsi="Arial" w:cs="Arial"/>
              </w:rPr>
              <w:t xml:space="preserve">Check that </w:t>
            </w:r>
            <w:r>
              <w:rPr>
                <w:rFonts w:ascii="Arial" w:eastAsia="Calibri" w:hAnsi="Arial" w:cs="Arial"/>
              </w:rPr>
              <w:t xml:space="preserve">a Remediation Plan / Strategy is in place and agreed with relevant Local Planning Authority </w:t>
            </w:r>
            <w:r w:rsidRPr="00C80BA2">
              <w:rPr>
                <w:rFonts w:ascii="Arial" w:eastAsia="Calibri" w:hAnsi="Arial" w:cs="Arial"/>
              </w:rPr>
              <w:t>(or SEPA if the site is a special site</w:t>
            </w:r>
            <w:r>
              <w:rPr>
                <w:rFonts w:ascii="Arial" w:eastAsia="Calibri" w:hAnsi="Arial" w:cs="Arial"/>
              </w:rPr>
              <w:t>)</w:t>
            </w:r>
          </w:p>
        </w:tc>
        <w:tc>
          <w:tcPr>
            <w:tcW w:w="930" w:type="dxa"/>
          </w:tcPr>
          <w:p w14:paraId="151387D6" w14:textId="77777777" w:rsidR="00C73F6B" w:rsidRDefault="00C73F6B" w:rsidP="00E82C37">
            <w:pPr>
              <w:pStyle w:val="ListParagraph"/>
              <w:ind w:right="567"/>
              <w:jc w:val="both"/>
              <w:rPr>
                <w:rFonts w:ascii="Arial" w:eastAsia="Calibri" w:hAnsi="Arial" w:cs="Arial"/>
                <w:b/>
                <w:bCs/>
                <w:u w:val="single"/>
              </w:rPr>
            </w:pPr>
          </w:p>
        </w:tc>
        <w:tc>
          <w:tcPr>
            <w:tcW w:w="942" w:type="dxa"/>
          </w:tcPr>
          <w:p w14:paraId="294EE1D4" w14:textId="77777777" w:rsidR="00C73F6B" w:rsidRDefault="00C73F6B" w:rsidP="00E82C37">
            <w:pPr>
              <w:pStyle w:val="ListParagraph"/>
              <w:ind w:right="567"/>
              <w:jc w:val="both"/>
              <w:rPr>
                <w:rFonts w:ascii="Arial" w:eastAsia="Calibri" w:hAnsi="Arial" w:cs="Arial"/>
                <w:b/>
                <w:bCs/>
                <w:u w:val="single"/>
              </w:rPr>
            </w:pPr>
          </w:p>
        </w:tc>
      </w:tr>
      <w:tr w:rsidR="000639CF" w14:paraId="302B4403" w14:textId="77777777" w:rsidTr="00932483">
        <w:tc>
          <w:tcPr>
            <w:tcW w:w="9810" w:type="dxa"/>
            <w:gridSpan w:val="3"/>
          </w:tcPr>
          <w:p w14:paraId="08188822" w14:textId="6C76F3BE" w:rsidR="000639CF" w:rsidRDefault="000639CF" w:rsidP="00C73F6B">
            <w:pPr>
              <w:pStyle w:val="ListParagraph"/>
              <w:ind w:right="567"/>
              <w:jc w:val="both"/>
              <w:rPr>
                <w:rFonts w:ascii="Arial" w:eastAsia="Calibri" w:hAnsi="Arial" w:cs="Arial"/>
                <w:b/>
                <w:bCs/>
                <w:u w:val="single"/>
              </w:rPr>
            </w:pPr>
            <w:r w:rsidRPr="00001805">
              <w:rPr>
                <w:rFonts w:ascii="Arial" w:hAnsi="Arial" w:cs="Arial"/>
              </w:rPr>
              <w:t>If answer ‘</w:t>
            </w:r>
            <w:r w:rsidRPr="00001805">
              <w:rPr>
                <w:rFonts w:ascii="Arial" w:hAnsi="Arial" w:cs="Arial"/>
                <w:color w:val="FF0000"/>
              </w:rPr>
              <w:t>no</w:t>
            </w:r>
            <w:r w:rsidRPr="00001805">
              <w:rPr>
                <w:rFonts w:ascii="Arial" w:hAnsi="Arial" w:cs="Arial"/>
              </w:rPr>
              <w:t>’ above</w:t>
            </w:r>
            <w:r>
              <w:rPr>
                <w:rFonts w:ascii="Arial" w:hAnsi="Arial" w:cs="Arial"/>
              </w:rPr>
              <w:t>,</w:t>
            </w:r>
            <w:r w:rsidRPr="00001805">
              <w:rPr>
                <w:rFonts w:ascii="Arial" w:hAnsi="Arial" w:cs="Arial"/>
              </w:rPr>
              <w:t xml:space="preserve"> </w:t>
            </w:r>
            <w:r>
              <w:rPr>
                <w:rFonts w:ascii="Arial" w:hAnsi="Arial" w:cs="Arial"/>
              </w:rPr>
              <w:t>materials cannot be reused. Appoint consultant to compile Remediation Plan / Strategy</w:t>
            </w:r>
          </w:p>
        </w:tc>
      </w:tr>
    </w:tbl>
    <w:p w14:paraId="6A71CE92" w14:textId="77777777" w:rsidR="00C80BA2" w:rsidRDefault="00C80BA2" w:rsidP="00004B5D">
      <w:pPr>
        <w:pStyle w:val="ListParagraph"/>
        <w:widowControl/>
        <w:autoSpaceDE/>
        <w:autoSpaceDN/>
        <w:ind w:left="927" w:right="567"/>
        <w:jc w:val="both"/>
        <w:rPr>
          <w:rFonts w:ascii="Arial" w:eastAsia="Calibri" w:hAnsi="Arial" w:cs="Arial"/>
        </w:rPr>
      </w:pPr>
    </w:p>
    <w:p w14:paraId="26E3AC13" w14:textId="39EA092E" w:rsidR="00004B5D" w:rsidRPr="00004B5D" w:rsidRDefault="00004B5D" w:rsidP="00004B5D">
      <w:pPr>
        <w:pStyle w:val="ListParagraph"/>
        <w:widowControl/>
        <w:autoSpaceDE/>
        <w:autoSpaceDN/>
        <w:ind w:left="927" w:right="567"/>
        <w:jc w:val="both"/>
        <w:rPr>
          <w:rFonts w:ascii="Arial" w:eastAsia="Calibri" w:hAnsi="Arial" w:cs="Arial"/>
          <w:b/>
          <w:bCs/>
          <w:u w:val="single"/>
        </w:rPr>
      </w:pPr>
      <w:r w:rsidRPr="00004B5D">
        <w:rPr>
          <w:rFonts w:ascii="Arial" w:eastAsia="Calibri" w:hAnsi="Arial" w:cs="Arial"/>
          <w:b/>
          <w:bCs/>
          <w:u w:val="single"/>
        </w:rPr>
        <w:t>Scenario C</w:t>
      </w:r>
    </w:p>
    <w:p w14:paraId="6CB77EC7" w14:textId="77777777" w:rsidR="00004B5D" w:rsidRDefault="00004B5D" w:rsidP="00004B5D">
      <w:pPr>
        <w:pStyle w:val="ListParagraph"/>
        <w:widowControl/>
        <w:autoSpaceDE/>
        <w:autoSpaceDN/>
        <w:ind w:left="927" w:right="567"/>
        <w:jc w:val="both"/>
        <w:rPr>
          <w:rFonts w:ascii="Arial" w:eastAsia="Calibri" w:hAnsi="Arial" w:cs="Arial"/>
          <w:b/>
          <w:bCs/>
        </w:rPr>
      </w:pPr>
    </w:p>
    <w:tbl>
      <w:tblPr>
        <w:tblStyle w:val="TableGrid"/>
        <w:tblW w:w="0" w:type="auto"/>
        <w:tblInd w:w="846" w:type="dxa"/>
        <w:tblLook w:val="04A0" w:firstRow="1" w:lastRow="0" w:firstColumn="1" w:lastColumn="0" w:noHBand="0" w:noVBand="1"/>
      </w:tblPr>
      <w:tblGrid>
        <w:gridCol w:w="7938"/>
        <w:gridCol w:w="930"/>
        <w:gridCol w:w="942"/>
      </w:tblGrid>
      <w:tr w:rsidR="00BD387B" w14:paraId="584233B2" w14:textId="77777777" w:rsidTr="00E82C37">
        <w:tc>
          <w:tcPr>
            <w:tcW w:w="7938" w:type="dxa"/>
            <w:shd w:val="clear" w:color="auto" w:fill="B8CCE4" w:themeFill="accent1" w:themeFillTint="66"/>
          </w:tcPr>
          <w:p w14:paraId="1C3891A5" w14:textId="77777777" w:rsidR="00BD387B" w:rsidRDefault="00BD387B" w:rsidP="00E82C37">
            <w:pPr>
              <w:pStyle w:val="ListParagraph"/>
              <w:ind w:right="567"/>
              <w:jc w:val="both"/>
              <w:rPr>
                <w:rFonts w:ascii="Arial" w:eastAsia="Calibri" w:hAnsi="Arial" w:cs="Arial"/>
                <w:b/>
                <w:bCs/>
                <w:u w:val="single"/>
              </w:rPr>
            </w:pPr>
            <w:r>
              <w:rPr>
                <w:rFonts w:ascii="Arial" w:eastAsia="Calibri" w:hAnsi="Arial" w:cs="Arial"/>
                <w:b/>
                <w:bCs/>
                <w:u w:val="single"/>
              </w:rPr>
              <w:t>Check</w:t>
            </w:r>
          </w:p>
        </w:tc>
        <w:tc>
          <w:tcPr>
            <w:tcW w:w="930" w:type="dxa"/>
            <w:shd w:val="clear" w:color="auto" w:fill="B8CCE4" w:themeFill="accent1" w:themeFillTint="66"/>
          </w:tcPr>
          <w:p w14:paraId="41383338" w14:textId="77777777" w:rsidR="00BD387B" w:rsidRDefault="00BD387B" w:rsidP="00E82C37">
            <w:pPr>
              <w:pStyle w:val="ListParagraph"/>
              <w:ind w:right="567"/>
              <w:jc w:val="center"/>
              <w:rPr>
                <w:rFonts w:ascii="Arial" w:eastAsia="Calibri" w:hAnsi="Arial" w:cs="Arial"/>
                <w:b/>
                <w:bCs/>
                <w:u w:val="single"/>
              </w:rPr>
            </w:pPr>
            <w:r>
              <w:rPr>
                <w:rFonts w:ascii="Arial" w:eastAsia="Calibri" w:hAnsi="Arial" w:cs="Arial"/>
                <w:b/>
                <w:bCs/>
                <w:u w:val="single"/>
              </w:rPr>
              <w:t>Y</w:t>
            </w:r>
          </w:p>
        </w:tc>
        <w:tc>
          <w:tcPr>
            <w:tcW w:w="942" w:type="dxa"/>
            <w:shd w:val="clear" w:color="auto" w:fill="B8CCE4" w:themeFill="accent1" w:themeFillTint="66"/>
          </w:tcPr>
          <w:p w14:paraId="2411C1BD" w14:textId="77777777" w:rsidR="00BD387B" w:rsidRDefault="00BD387B" w:rsidP="00E82C37">
            <w:pPr>
              <w:pStyle w:val="ListParagraph"/>
              <w:ind w:right="567"/>
              <w:jc w:val="center"/>
              <w:rPr>
                <w:rFonts w:ascii="Arial" w:eastAsia="Calibri" w:hAnsi="Arial" w:cs="Arial"/>
                <w:b/>
                <w:bCs/>
                <w:u w:val="single"/>
              </w:rPr>
            </w:pPr>
            <w:r>
              <w:rPr>
                <w:rFonts w:ascii="Arial" w:eastAsia="Calibri" w:hAnsi="Arial" w:cs="Arial"/>
                <w:b/>
                <w:bCs/>
                <w:u w:val="single"/>
              </w:rPr>
              <w:t>N</w:t>
            </w:r>
          </w:p>
        </w:tc>
      </w:tr>
      <w:tr w:rsidR="00BD387B" w14:paraId="4135BF90" w14:textId="77777777" w:rsidTr="00E82C37">
        <w:tc>
          <w:tcPr>
            <w:tcW w:w="7938" w:type="dxa"/>
          </w:tcPr>
          <w:p w14:paraId="7EC60ACD" w14:textId="0F67A662" w:rsidR="00BD387B" w:rsidRPr="00C80BA2" w:rsidRDefault="00BD387B" w:rsidP="00E82C37">
            <w:pPr>
              <w:pStyle w:val="ListParagraph"/>
              <w:ind w:right="567"/>
              <w:jc w:val="both"/>
              <w:rPr>
                <w:rFonts w:ascii="Arial" w:eastAsia="Calibri" w:hAnsi="Arial" w:cs="Arial"/>
              </w:rPr>
            </w:pPr>
            <w:r w:rsidRPr="00C80BA2">
              <w:rPr>
                <w:rFonts w:ascii="Arial" w:eastAsia="Calibri" w:hAnsi="Arial" w:cs="Arial"/>
              </w:rPr>
              <w:t>Check that</w:t>
            </w:r>
            <w:r>
              <w:rPr>
                <w:rFonts w:ascii="Arial" w:eastAsia="Calibri" w:hAnsi="Arial" w:cs="Arial"/>
              </w:rPr>
              <w:t xml:space="preserve"> a ‘mobile plant’ licence is in place to allow for treatment of soils</w:t>
            </w:r>
          </w:p>
        </w:tc>
        <w:tc>
          <w:tcPr>
            <w:tcW w:w="930" w:type="dxa"/>
          </w:tcPr>
          <w:p w14:paraId="0E996432" w14:textId="77777777" w:rsidR="00BD387B" w:rsidRDefault="00BD387B" w:rsidP="00E82C37">
            <w:pPr>
              <w:pStyle w:val="ListParagraph"/>
              <w:ind w:right="567"/>
              <w:jc w:val="both"/>
              <w:rPr>
                <w:rFonts w:ascii="Arial" w:eastAsia="Calibri" w:hAnsi="Arial" w:cs="Arial"/>
                <w:b/>
                <w:bCs/>
                <w:u w:val="single"/>
              </w:rPr>
            </w:pPr>
          </w:p>
        </w:tc>
        <w:tc>
          <w:tcPr>
            <w:tcW w:w="942" w:type="dxa"/>
          </w:tcPr>
          <w:p w14:paraId="2DA5803F" w14:textId="77777777" w:rsidR="00BD387B" w:rsidRDefault="00BD387B" w:rsidP="00E82C37">
            <w:pPr>
              <w:pStyle w:val="ListParagraph"/>
              <w:ind w:right="567"/>
              <w:jc w:val="both"/>
              <w:rPr>
                <w:rFonts w:ascii="Arial" w:eastAsia="Calibri" w:hAnsi="Arial" w:cs="Arial"/>
                <w:b/>
                <w:bCs/>
                <w:u w:val="single"/>
              </w:rPr>
            </w:pPr>
          </w:p>
        </w:tc>
      </w:tr>
      <w:tr w:rsidR="00BD387B" w14:paraId="4A724CA5" w14:textId="77777777" w:rsidTr="00BD387B">
        <w:tc>
          <w:tcPr>
            <w:tcW w:w="7938" w:type="dxa"/>
          </w:tcPr>
          <w:p w14:paraId="4602C683" w14:textId="300971D5" w:rsidR="00BD387B" w:rsidRPr="00BD387B" w:rsidRDefault="00BD387B" w:rsidP="00E82C37">
            <w:pPr>
              <w:pStyle w:val="ListParagraph"/>
              <w:ind w:right="567"/>
              <w:jc w:val="both"/>
              <w:rPr>
                <w:rFonts w:ascii="Arial" w:eastAsia="Calibri" w:hAnsi="Arial" w:cs="Arial"/>
              </w:rPr>
            </w:pPr>
            <w:r w:rsidRPr="00BD387B">
              <w:rPr>
                <w:rFonts w:ascii="Arial" w:eastAsia="Calibri" w:hAnsi="Arial" w:cs="Arial"/>
              </w:rPr>
              <w:t xml:space="preserve">Check that a ‘Site Specific Working Plan’ </w:t>
            </w:r>
            <w:r w:rsidR="00454F15">
              <w:rPr>
                <w:rFonts w:ascii="Arial" w:eastAsia="Calibri" w:hAnsi="Arial" w:cs="Arial"/>
              </w:rPr>
              <w:t>and Remediation Plan / Strategy are in place</w:t>
            </w:r>
          </w:p>
        </w:tc>
        <w:tc>
          <w:tcPr>
            <w:tcW w:w="930" w:type="dxa"/>
            <w:shd w:val="clear" w:color="auto" w:fill="auto"/>
          </w:tcPr>
          <w:p w14:paraId="73866934" w14:textId="77777777" w:rsidR="00BD387B" w:rsidRDefault="00BD387B" w:rsidP="00E82C37">
            <w:pPr>
              <w:pStyle w:val="ListParagraph"/>
              <w:ind w:right="567"/>
              <w:jc w:val="both"/>
              <w:rPr>
                <w:rFonts w:ascii="Arial" w:eastAsia="Calibri" w:hAnsi="Arial" w:cs="Arial"/>
                <w:b/>
                <w:bCs/>
                <w:u w:val="single"/>
              </w:rPr>
            </w:pPr>
          </w:p>
        </w:tc>
        <w:tc>
          <w:tcPr>
            <w:tcW w:w="942" w:type="dxa"/>
            <w:shd w:val="clear" w:color="auto" w:fill="auto"/>
          </w:tcPr>
          <w:p w14:paraId="067ED306" w14:textId="77777777" w:rsidR="00BD387B" w:rsidRDefault="00BD387B" w:rsidP="00E82C37">
            <w:pPr>
              <w:pStyle w:val="ListParagraph"/>
              <w:ind w:right="567"/>
              <w:jc w:val="both"/>
              <w:rPr>
                <w:rFonts w:ascii="Arial" w:eastAsia="Calibri" w:hAnsi="Arial" w:cs="Arial"/>
                <w:b/>
                <w:bCs/>
                <w:u w:val="single"/>
              </w:rPr>
            </w:pPr>
          </w:p>
        </w:tc>
      </w:tr>
      <w:tr w:rsidR="00454F15" w14:paraId="10EB77AB" w14:textId="77777777" w:rsidTr="00BD387B">
        <w:tc>
          <w:tcPr>
            <w:tcW w:w="7938" w:type="dxa"/>
          </w:tcPr>
          <w:p w14:paraId="34F3C851" w14:textId="511E1CE5" w:rsidR="00454F15" w:rsidRPr="00BD387B" w:rsidRDefault="00454F15" w:rsidP="00E82C37">
            <w:pPr>
              <w:pStyle w:val="ListParagraph"/>
              <w:ind w:right="567"/>
              <w:jc w:val="both"/>
              <w:rPr>
                <w:rFonts w:ascii="Arial" w:eastAsia="Calibri" w:hAnsi="Arial" w:cs="Arial"/>
              </w:rPr>
            </w:pPr>
            <w:r w:rsidRPr="00454F15">
              <w:rPr>
                <w:rFonts w:ascii="Arial" w:eastAsia="Calibri" w:hAnsi="Arial" w:cs="Arial"/>
              </w:rPr>
              <w:t>If answer ‘</w:t>
            </w:r>
            <w:r w:rsidRPr="00454F15">
              <w:rPr>
                <w:rFonts w:ascii="Arial" w:eastAsia="Calibri" w:hAnsi="Arial" w:cs="Arial"/>
                <w:color w:val="FF0000"/>
              </w:rPr>
              <w:t>no</w:t>
            </w:r>
            <w:r w:rsidRPr="00454F15">
              <w:rPr>
                <w:rFonts w:ascii="Arial" w:eastAsia="Calibri" w:hAnsi="Arial" w:cs="Arial"/>
              </w:rPr>
              <w:t>’ above</w:t>
            </w:r>
            <w:r>
              <w:rPr>
                <w:rFonts w:ascii="Arial" w:eastAsia="Calibri" w:hAnsi="Arial" w:cs="Arial"/>
              </w:rPr>
              <w:t>, works cannot proceed until such time as both are in place</w:t>
            </w:r>
          </w:p>
        </w:tc>
        <w:tc>
          <w:tcPr>
            <w:tcW w:w="930" w:type="dxa"/>
            <w:shd w:val="clear" w:color="auto" w:fill="auto"/>
          </w:tcPr>
          <w:p w14:paraId="07589A08" w14:textId="77777777" w:rsidR="00454F15" w:rsidRDefault="00454F15" w:rsidP="00E82C37">
            <w:pPr>
              <w:pStyle w:val="ListParagraph"/>
              <w:ind w:right="567"/>
              <w:jc w:val="both"/>
              <w:rPr>
                <w:rFonts w:ascii="Arial" w:eastAsia="Calibri" w:hAnsi="Arial" w:cs="Arial"/>
                <w:b/>
                <w:bCs/>
                <w:u w:val="single"/>
              </w:rPr>
            </w:pPr>
          </w:p>
        </w:tc>
        <w:tc>
          <w:tcPr>
            <w:tcW w:w="942" w:type="dxa"/>
            <w:shd w:val="clear" w:color="auto" w:fill="auto"/>
          </w:tcPr>
          <w:p w14:paraId="6D19C6C5" w14:textId="77777777" w:rsidR="00454F15" w:rsidRDefault="00454F15" w:rsidP="00E82C37">
            <w:pPr>
              <w:pStyle w:val="ListParagraph"/>
              <w:ind w:right="567"/>
              <w:jc w:val="both"/>
              <w:rPr>
                <w:rFonts w:ascii="Arial" w:eastAsia="Calibri" w:hAnsi="Arial" w:cs="Arial"/>
                <w:b/>
                <w:bCs/>
                <w:u w:val="single"/>
              </w:rPr>
            </w:pPr>
          </w:p>
        </w:tc>
      </w:tr>
      <w:tr w:rsidR="005B4A61" w14:paraId="1C08BE34" w14:textId="77777777" w:rsidTr="005B4A61">
        <w:trPr>
          <w:trHeight w:val="396"/>
        </w:trPr>
        <w:tc>
          <w:tcPr>
            <w:tcW w:w="9810" w:type="dxa"/>
            <w:gridSpan w:val="3"/>
          </w:tcPr>
          <w:p w14:paraId="2900BABD" w14:textId="4C63A7E0" w:rsidR="005B4A61" w:rsidRDefault="005B4A61" w:rsidP="00E82C37">
            <w:pPr>
              <w:pStyle w:val="ListParagraph"/>
              <w:ind w:right="567"/>
              <w:jc w:val="both"/>
              <w:rPr>
                <w:rFonts w:ascii="Arial" w:eastAsia="Calibri" w:hAnsi="Arial" w:cs="Arial"/>
                <w:b/>
                <w:bCs/>
                <w:u w:val="single"/>
              </w:rPr>
            </w:pPr>
            <w:r>
              <w:rPr>
                <w:rFonts w:ascii="Arial" w:eastAsia="Calibri" w:hAnsi="Arial" w:cs="Arial"/>
              </w:rPr>
              <w:t>Note – SEPA must be notified upon completion of works</w:t>
            </w:r>
          </w:p>
        </w:tc>
      </w:tr>
    </w:tbl>
    <w:p w14:paraId="2817F2BC" w14:textId="77777777" w:rsidR="00004B5D" w:rsidRDefault="00004B5D" w:rsidP="00004B5D">
      <w:pPr>
        <w:pStyle w:val="ListParagraph"/>
        <w:widowControl/>
        <w:autoSpaceDE/>
        <w:autoSpaceDN/>
        <w:ind w:left="927" w:right="567"/>
        <w:jc w:val="both"/>
        <w:rPr>
          <w:rFonts w:ascii="Arial" w:eastAsia="Calibri" w:hAnsi="Arial" w:cs="Arial"/>
          <w:b/>
          <w:bCs/>
        </w:rPr>
      </w:pPr>
    </w:p>
    <w:p w14:paraId="054E2899" w14:textId="4053FFF5" w:rsidR="008E41B2" w:rsidRPr="008E41B2" w:rsidRDefault="008E41B2" w:rsidP="005B4A61">
      <w:pPr>
        <w:widowControl/>
        <w:autoSpaceDE/>
        <w:autoSpaceDN/>
        <w:spacing w:before="100" w:beforeAutospacing="1" w:after="100" w:afterAutospacing="1"/>
        <w:contextualSpacing/>
        <w:rPr>
          <w:rFonts w:ascii="Arial" w:hAnsi="Arial" w:cs="Arial"/>
          <w:b/>
          <w:bCs/>
          <w:u w:val="single"/>
        </w:rPr>
      </w:pPr>
    </w:p>
    <w:sectPr w:rsidR="008E41B2" w:rsidRPr="008E41B2" w:rsidSect="005B4A61">
      <w:headerReference w:type="even" r:id="rId12"/>
      <w:headerReference w:type="default" r:id="rId13"/>
      <w:footerReference w:type="even" r:id="rId14"/>
      <w:footerReference w:type="default" r:id="rId15"/>
      <w:headerReference w:type="first" r:id="rId16"/>
      <w:footerReference w:type="first" r:id="rId17"/>
      <w:pgSz w:w="11906" w:h="16838" w:code="9"/>
      <w:pgMar w:top="540" w:right="0" w:bottom="280" w:left="30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A26B" w14:textId="77777777" w:rsidR="00814B2F" w:rsidRDefault="00814B2F" w:rsidP="00DC74DF">
      <w:r>
        <w:separator/>
      </w:r>
    </w:p>
  </w:endnote>
  <w:endnote w:type="continuationSeparator" w:id="0">
    <w:p w14:paraId="06303D75" w14:textId="77777777" w:rsidR="00814B2F" w:rsidRDefault="00814B2F" w:rsidP="00D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F198" w14:textId="77777777" w:rsidR="00D831BA" w:rsidRDefault="00D83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FD9" w14:textId="77777777" w:rsidR="00BA374A" w:rsidRDefault="00BA374A" w:rsidP="00BA374A">
    <w:pPr>
      <w:pStyle w:val="Footer"/>
      <w:tabs>
        <w:tab w:val="clear" w:pos="4513"/>
        <w:tab w:val="clear" w:pos="9026"/>
        <w:tab w:val="left" w:pos="1851"/>
      </w:tabs>
    </w:pPr>
    <w:r>
      <w:tab/>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843"/>
      <w:gridCol w:w="4111"/>
    </w:tblGrid>
    <w:tr w:rsidR="005B4A61" w:rsidRPr="007E57C5" w14:paraId="6FB48681" w14:textId="77777777" w:rsidTr="005B4A61">
      <w:tc>
        <w:tcPr>
          <w:tcW w:w="2689" w:type="dxa"/>
          <w:shd w:val="clear" w:color="auto" w:fill="auto"/>
        </w:tcPr>
        <w:p w14:paraId="1FC02677" w14:textId="77777777" w:rsidR="005B4A61" w:rsidRPr="007E57C5" w:rsidRDefault="005B4A61" w:rsidP="005B4A61">
          <w:pPr>
            <w:rPr>
              <w:rFonts w:ascii="Arial" w:hAnsi="Arial" w:cs="Arial"/>
              <w:sz w:val="16"/>
              <w:szCs w:val="16"/>
            </w:rPr>
          </w:pPr>
          <w:r w:rsidRPr="007E57C5">
            <w:rPr>
              <w:rFonts w:ascii="Arial" w:hAnsi="Arial" w:cs="Arial"/>
              <w:b/>
              <w:sz w:val="16"/>
              <w:szCs w:val="16"/>
            </w:rPr>
            <w:t>Authorised by:</w:t>
          </w:r>
          <w:r w:rsidRPr="007E57C5">
            <w:rPr>
              <w:rFonts w:ascii="Arial" w:hAnsi="Arial" w:cs="Arial"/>
              <w:sz w:val="16"/>
              <w:szCs w:val="16"/>
            </w:rPr>
            <w:t xml:space="preserve"> HS&amp;E Director</w:t>
          </w:r>
        </w:p>
      </w:tc>
      <w:tc>
        <w:tcPr>
          <w:tcW w:w="1984" w:type="dxa"/>
          <w:shd w:val="clear" w:color="auto" w:fill="auto"/>
        </w:tcPr>
        <w:p w14:paraId="299062B2" w14:textId="37D8D9A6" w:rsidR="005B4A61" w:rsidRPr="007E57C5" w:rsidRDefault="005B4A61" w:rsidP="005B4A61">
          <w:pPr>
            <w:rPr>
              <w:rFonts w:ascii="Arial" w:hAnsi="Arial" w:cs="Arial"/>
              <w:b/>
              <w:sz w:val="16"/>
              <w:szCs w:val="16"/>
            </w:rPr>
          </w:pPr>
          <w:r w:rsidRPr="007E57C5">
            <w:rPr>
              <w:rFonts w:ascii="Arial" w:hAnsi="Arial" w:cs="Arial"/>
              <w:b/>
              <w:sz w:val="16"/>
              <w:szCs w:val="16"/>
            </w:rPr>
            <w:t xml:space="preserve">Version date: </w:t>
          </w:r>
          <w:r w:rsidRPr="005B4A61">
            <w:rPr>
              <w:rFonts w:ascii="Arial" w:hAnsi="Arial" w:cs="Arial"/>
              <w:bCs/>
              <w:sz w:val="16"/>
              <w:szCs w:val="16"/>
            </w:rPr>
            <w:t>06.09.23</w:t>
          </w:r>
        </w:p>
      </w:tc>
      <w:tc>
        <w:tcPr>
          <w:tcW w:w="1843" w:type="dxa"/>
          <w:shd w:val="clear" w:color="auto" w:fill="auto"/>
        </w:tcPr>
        <w:p w14:paraId="23271ABC" w14:textId="77777777" w:rsidR="005B4A61" w:rsidRPr="007E57C5" w:rsidRDefault="005B4A61" w:rsidP="005B4A61">
          <w:pPr>
            <w:rPr>
              <w:rFonts w:ascii="Arial" w:hAnsi="Arial" w:cs="Arial"/>
              <w:b/>
              <w:sz w:val="16"/>
              <w:szCs w:val="16"/>
            </w:rPr>
          </w:pPr>
          <w:r w:rsidRPr="007E57C5">
            <w:rPr>
              <w:rFonts w:ascii="Arial" w:hAnsi="Arial" w:cs="Arial"/>
              <w:b/>
              <w:sz w:val="16"/>
              <w:szCs w:val="16"/>
            </w:rPr>
            <w:t xml:space="preserve">Version: </w:t>
          </w:r>
          <w:r w:rsidRPr="005B4A61">
            <w:rPr>
              <w:rFonts w:ascii="Arial" w:hAnsi="Arial" w:cs="Arial"/>
              <w:bCs/>
              <w:sz w:val="16"/>
              <w:szCs w:val="16"/>
            </w:rPr>
            <w:t>1</w:t>
          </w:r>
        </w:p>
      </w:tc>
      <w:tc>
        <w:tcPr>
          <w:tcW w:w="4111" w:type="dxa"/>
          <w:shd w:val="clear" w:color="auto" w:fill="auto"/>
        </w:tcPr>
        <w:p w14:paraId="2E39707F" w14:textId="7ADE4933" w:rsidR="005B4A61" w:rsidRPr="007E57C5" w:rsidRDefault="005B4A61" w:rsidP="005B4A61">
          <w:pPr>
            <w:rPr>
              <w:rFonts w:ascii="Arial" w:hAnsi="Arial" w:cs="Arial"/>
              <w:b/>
              <w:sz w:val="16"/>
              <w:szCs w:val="16"/>
            </w:rPr>
          </w:pPr>
          <w:r w:rsidRPr="007E57C5">
            <w:rPr>
              <w:rFonts w:ascii="Arial" w:hAnsi="Arial" w:cs="Arial"/>
              <w:b/>
              <w:sz w:val="16"/>
              <w:szCs w:val="16"/>
            </w:rPr>
            <w:t xml:space="preserve">STD: </w:t>
          </w:r>
          <w:r w:rsidR="00D831BA">
            <w:rPr>
              <w:rFonts w:ascii="Arial" w:hAnsi="Arial" w:cs="Arial"/>
              <w:sz w:val="16"/>
              <w:szCs w:val="16"/>
            </w:rPr>
            <w:t>Soil Management</w:t>
          </w:r>
        </w:p>
        <w:p w14:paraId="6C9D7593" w14:textId="74AB7DB9" w:rsidR="005B4A61" w:rsidRPr="007E57C5" w:rsidRDefault="005B4A61" w:rsidP="005B4A61">
          <w:pPr>
            <w:rPr>
              <w:rFonts w:ascii="Arial" w:hAnsi="Arial" w:cs="Arial"/>
              <w:b/>
              <w:sz w:val="16"/>
              <w:szCs w:val="16"/>
            </w:rPr>
          </w:pPr>
          <w:r w:rsidRPr="007E57C5">
            <w:rPr>
              <w:rFonts w:ascii="Arial" w:hAnsi="Arial" w:cs="Arial"/>
              <w:b/>
              <w:sz w:val="16"/>
              <w:szCs w:val="16"/>
            </w:rPr>
            <w:t>Form No:</w:t>
          </w:r>
          <w:r w:rsidRPr="007E57C5">
            <w:rPr>
              <w:rFonts w:ascii="Arial" w:hAnsi="Arial" w:cs="Arial"/>
              <w:sz w:val="16"/>
              <w:szCs w:val="16"/>
            </w:rPr>
            <w:t xml:space="preserve"> 012</w:t>
          </w:r>
          <w:r>
            <w:rPr>
              <w:rFonts w:ascii="Arial" w:hAnsi="Arial" w:cs="Arial"/>
              <w:sz w:val="16"/>
              <w:szCs w:val="16"/>
            </w:rPr>
            <w:t xml:space="preserve"> - Materials Planning Checklist Scotland</w:t>
          </w:r>
        </w:p>
      </w:tc>
    </w:tr>
    <w:tr w:rsidR="005B4A61" w:rsidRPr="007E57C5" w14:paraId="36628895" w14:textId="77777777" w:rsidTr="00E82C37">
      <w:tc>
        <w:tcPr>
          <w:tcW w:w="10627" w:type="dxa"/>
          <w:gridSpan w:val="4"/>
          <w:shd w:val="clear" w:color="auto" w:fill="auto"/>
        </w:tcPr>
        <w:p w14:paraId="7B98F7AC" w14:textId="77777777" w:rsidR="005B4A61" w:rsidRPr="007E57C5" w:rsidRDefault="005B4A61" w:rsidP="005B4A61">
          <w:pPr>
            <w:jc w:val="center"/>
            <w:rPr>
              <w:rFonts w:ascii="Arial" w:hAnsi="Arial" w:cs="Arial"/>
              <w:b/>
              <w:sz w:val="16"/>
              <w:szCs w:val="16"/>
            </w:rPr>
          </w:pPr>
          <w:r w:rsidRPr="007E57C5">
            <w:rPr>
              <w:rFonts w:ascii="Arial" w:hAnsi="Arial" w:cs="Arial"/>
              <w:b/>
              <w:sz w:val="16"/>
              <w:szCs w:val="16"/>
            </w:rPr>
            <w:t>Uncontrolled if printed or copied – always ch</w:t>
          </w:r>
          <w:r>
            <w:rPr>
              <w:rFonts w:ascii="Arial" w:hAnsi="Arial" w:cs="Arial"/>
              <w:b/>
              <w:sz w:val="16"/>
              <w:szCs w:val="16"/>
            </w:rPr>
            <w:t xml:space="preserve">eck the Group HS&amp;E </w:t>
          </w:r>
          <w:r w:rsidRPr="007E57C5">
            <w:rPr>
              <w:rFonts w:ascii="Arial" w:hAnsi="Arial" w:cs="Arial"/>
              <w:b/>
              <w:sz w:val="16"/>
              <w:szCs w:val="16"/>
            </w:rPr>
            <w:t>policy folder for latest version</w:t>
          </w:r>
        </w:p>
      </w:tc>
    </w:tr>
  </w:tbl>
  <w:p w14:paraId="0060742A" w14:textId="77777777" w:rsidR="00E608A5" w:rsidRDefault="00E60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F341" w14:textId="77777777" w:rsidR="00D831BA" w:rsidRDefault="00D8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252" w14:textId="77777777" w:rsidR="00814B2F" w:rsidRDefault="00814B2F" w:rsidP="00DC74DF">
      <w:r>
        <w:separator/>
      </w:r>
    </w:p>
  </w:footnote>
  <w:footnote w:type="continuationSeparator" w:id="0">
    <w:p w14:paraId="48FD0CEB" w14:textId="77777777" w:rsidR="00814B2F" w:rsidRDefault="00814B2F" w:rsidP="00DC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1D92" w14:textId="77777777" w:rsidR="00D831BA" w:rsidRDefault="00D83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8B4B" w14:textId="77777777" w:rsidR="00D831BA" w:rsidRDefault="00D83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B579" w14:textId="77777777" w:rsidR="00D831BA" w:rsidRDefault="00D8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4C9"/>
    <w:multiLevelType w:val="hybridMultilevel"/>
    <w:tmpl w:val="FAC06066"/>
    <w:lvl w:ilvl="0" w:tplc="A706FBB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EE22B20"/>
    <w:multiLevelType w:val="hybridMultilevel"/>
    <w:tmpl w:val="4072D3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954FD5"/>
    <w:multiLevelType w:val="hybridMultilevel"/>
    <w:tmpl w:val="FDEE5580"/>
    <w:lvl w:ilvl="0" w:tplc="F990BD96">
      <w:start w:val="1"/>
      <w:numFmt w:val="bullet"/>
      <w:lvlText w:val=""/>
      <w:lvlJc w:val="left"/>
      <w:pPr>
        <w:tabs>
          <w:tab w:val="num" w:pos="720"/>
        </w:tabs>
        <w:ind w:left="720" w:hanging="360"/>
      </w:pPr>
      <w:rPr>
        <w:rFonts w:ascii="Wingdings" w:hAnsi="Wingdings" w:hint="default"/>
        <w:color w:val="3366FF"/>
      </w:rPr>
    </w:lvl>
    <w:lvl w:ilvl="1" w:tplc="08090003">
      <w:start w:val="1"/>
      <w:numFmt w:val="bullet"/>
      <w:lvlText w:val="o"/>
      <w:lvlJc w:val="left"/>
      <w:pPr>
        <w:tabs>
          <w:tab w:val="num" w:pos="2433"/>
        </w:tabs>
        <w:ind w:left="2433" w:hanging="360"/>
      </w:pPr>
      <w:rPr>
        <w:rFonts w:ascii="Courier New" w:hAnsi="Courier New" w:cs="Times New Roman" w:hint="default"/>
      </w:rPr>
    </w:lvl>
    <w:lvl w:ilvl="2" w:tplc="08090005">
      <w:start w:val="1"/>
      <w:numFmt w:val="bullet"/>
      <w:lvlText w:val=""/>
      <w:lvlJc w:val="left"/>
      <w:pPr>
        <w:tabs>
          <w:tab w:val="num" w:pos="3153"/>
        </w:tabs>
        <w:ind w:left="3153" w:hanging="360"/>
      </w:pPr>
      <w:rPr>
        <w:rFonts w:ascii="Wingdings" w:hAnsi="Wingdings" w:hint="default"/>
      </w:rPr>
    </w:lvl>
    <w:lvl w:ilvl="3" w:tplc="08090001">
      <w:start w:val="1"/>
      <w:numFmt w:val="bullet"/>
      <w:lvlText w:val=""/>
      <w:lvlJc w:val="left"/>
      <w:pPr>
        <w:tabs>
          <w:tab w:val="num" w:pos="3873"/>
        </w:tabs>
        <w:ind w:left="3873" w:hanging="360"/>
      </w:pPr>
      <w:rPr>
        <w:rFonts w:ascii="Symbol" w:hAnsi="Symbol" w:hint="default"/>
      </w:rPr>
    </w:lvl>
    <w:lvl w:ilvl="4" w:tplc="08090003">
      <w:start w:val="1"/>
      <w:numFmt w:val="bullet"/>
      <w:lvlText w:val="o"/>
      <w:lvlJc w:val="left"/>
      <w:pPr>
        <w:tabs>
          <w:tab w:val="num" w:pos="4593"/>
        </w:tabs>
        <w:ind w:left="4593" w:hanging="360"/>
      </w:pPr>
      <w:rPr>
        <w:rFonts w:ascii="Courier New" w:hAnsi="Courier New" w:cs="Times New Roman" w:hint="default"/>
      </w:rPr>
    </w:lvl>
    <w:lvl w:ilvl="5" w:tplc="08090005">
      <w:start w:val="1"/>
      <w:numFmt w:val="bullet"/>
      <w:lvlText w:val=""/>
      <w:lvlJc w:val="left"/>
      <w:pPr>
        <w:tabs>
          <w:tab w:val="num" w:pos="5313"/>
        </w:tabs>
        <w:ind w:left="5313" w:hanging="360"/>
      </w:pPr>
      <w:rPr>
        <w:rFonts w:ascii="Wingdings" w:hAnsi="Wingdings" w:hint="default"/>
      </w:rPr>
    </w:lvl>
    <w:lvl w:ilvl="6" w:tplc="08090001">
      <w:start w:val="1"/>
      <w:numFmt w:val="bullet"/>
      <w:lvlText w:val=""/>
      <w:lvlJc w:val="left"/>
      <w:pPr>
        <w:tabs>
          <w:tab w:val="num" w:pos="6033"/>
        </w:tabs>
        <w:ind w:left="6033" w:hanging="360"/>
      </w:pPr>
      <w:rPr>
        <w:rFonts w:ascii="Symbol" w:hAnsi="Symbol" w:hint="default"/>
      </w:rPr>
    </w:lvl>
    <w:lvl w:ilvl="7" w:tplc="08090003">
      <w:start w:val="1"/>
      <w:numFmt w:val="bullet"/>
      <w:lvlText w:val="o"/>
      <w:lvlJc w:val="left"/>
      <w:pPr>
        <w:tabs>
          <w:tab w:val="num" w:pos="6753"/>
        </w:tabs>
        <w:ind w:left="6753" w:hanging="360"/>
      </w:pPr>
      <w:rPr>
        <w:rFonts w:ascii="Courier New" w:hAnsi="Courier New" w:cs="Times New Roman" w:hint="default"/>
      </w:rPr>
    </w:lvl>
    <w:lvl w:ilvl="8" w:tplc="08090005">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2078555D"/>
    <w:multiLevelType w:val="hybridMultilevel"/>
    <w:tmpl w:val="4106F5CC"/>
    <w:lvl w:ilvl="0" w:tplc="F4DAE142">
      <w:start w:val="1"/>
      <w:numFmt w:val="lowerLetter"/>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4" w15:restartNumberingAfterBreak="0">
    <w:nsid w:val="2AAE1FCD"/>
    <w:multiLevelType w:val="hybridMultilevel"/>
    <w:tmpl w:val="A1C6D300"/>
    <w:lvl w:ilvl="0" w:tplc="EA3CB7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FBC71ED"/>
    <w:multiLevelType w:val="hybridMultilevel"/>
    <w:tmpl w:val="E4A8ACA6"/>
    <w:lvl w:ilvl="0" w:tplc="79D0A44E">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6" w15:restartNumberingAfterBreak="0">
    <w:nsid w:val="34B41C72"/>
    <w:multiLevelType w:val="hybridMultilevel"/>
    <w:tmpl w:val="FED00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2614D7"/>
    <w:multiLevelType w:val="hybridMultilevel"/>
    <w:tmpl w:val="515EDB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E9755C0"/>
    <w:multiLevelType w:val="hybridMultilevel"/>
    <w:tmpl w:val="CC9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2375"/>
    <w:multiLevelType w:val="hybridMultilevel"/>
    <w:tmpl w:val="28BAC09A"/>
    <w:lvl w:ilvl="0" w:tplc="BA829686">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0" w15:restartNumberingAfterBreak="0">
    <w:nsid w:val="4E3478E2"/>
    <w:multiLevelType w:val="hybridMultilevel"/>
    <w:tmpl w:val="3B0CA574"/>
    <w:lvl w:ilvl="0" w:tplc="A8426B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78108D"/>
    <w:multiLevelType w:val="hybridMultilevel"/>
    <w:tmpl w:val="64883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6643F"/>
    <w:multiLevelType w:val="hybridMultilevel"/>
    <w:tmpl w:val="0AA00464"/>
    <w:lvl w:ilvl="0" w:tplc="665C762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num w:numId="1" w16cid:durableId="1407802477">
    <w:abstractNumId w:val="12"/>
  </w:num>
  <w:num w:numId="2" w16cid:durableId="78865373">
    <w:abstractNumId w:val="9"/>
  </w:num>
  <w:num w:numId="3" w16cid:durableId="1157963767">
    <w:abstractNumId w:val="6"/>
  </w:num>
  <w:num w:numId="4" w16cid:durableId="1714423026">
    <w:abstractNumId w:val="5"/>
  </w:num>
  <w:num w:numId="5" w16cid:durableId="735669811">
    <w:abstractNumId w:val="2"/>
  </w:num>
  <w:num w:numId="6" w16cid:durableId="1839885699">
    <w:abstractNumId w:val="8"/>
  </w:num>
  <w:num w:numId="7" w16cid:durableId="559903769">
    <w:abstractNumId w:val="11"/>
  </w:num>
  <w:num w:numId="8" w16cid:durableId="323239781">
    <w:abstractNumId w:val="7"/>
  </w:num>
  <w:num w:numId="9" w16cid:durableId="1397239350">
    <w:abstractNumId w:val="1"/>
  </w:num>
  <w:num w:numId="10" w16cid:durableId="1436168127">
    <w:abstractNumId w:val="3"/>
  </w:num>
  <w:num w:numId="11" w16cid:durableId="874662953">
    <w:abstractNumId w:val="4"/>
  </w:num>
  <w:num w:numId="12" w16cid:durableId="320962330">
    <w:abstractNumId w:val="0"/>
  </w:num>
  <w:num w:numId="13" w16cid:durableId="791939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2A"/>
    <w:rsid w:val="00001805"/>
    <w:rsid w:val="00004B5D"/>
    <w:rsid w:val="00024F52"/>
    <w:rsid w:val="0004012D"/>
    <w:rsid w:val="00042889"/>
    <w:rsid w:val="00052FD7"/>
    <w:rsid w:val="000639CF"/>
    <w:rsid w:val="000E7854"/>
    <w:rsid w:val="000F7777"/>
    <w:rsid w:val="0012323B"/>
    <w:rsid w:val="00131100"/>
    <w:rsid w:val="001617FF"/>
    <w:rsid w:val="00171419"/>
    <w:rsid w:val="001943DB"/>
    <w:rsid w:val="001A5451"/>
    <w:rsid w:val="001B2AD0"/>
    <w:rsid w:val="001D1339"/>
    <w:rsid w:val="001E24F0"/>
    <w:rsid w:val="0025784D"/>
    <w:rsid w:val="00263E0D"/>
    <w:rsid w:val="00264F2C"/>
    <w:rsid w:val="002A0458"/>
    <w:rsid w:val="002C56BE"/>
    <w:rsid w:val="002C67D6"/>
    <w:rsid w:val="002D38AB"/>
    <w:rsid w:val="002E392A"/>
    <w:rsid w:val="002E3B7A"/>
    <w:rsid w:val="00340395"/>
    <w:rsid w:val="00342E87"/>
    <w:rsid w:val="00383292"/>
    <w:rsid w:val="003D0045"/>
    <w:rsid w:val="003F5642"/>
    <w:rsid w:val="00421A81"/>
    <w:rsid w:val="004239CA"/>
    <w:rsid w:val="00447966"/>
    <w:rsid w:val="00454BA6"/>
    <w:rsid w:val="00454F15"/>
    <w:rsid w:val="004C2153"/>
    <w:rsid w:val="004D1E27"/>
    <w:rsid w:val="00507D5A"/>
    <w:rsid w:val="00542541"/>
    <w:rsid w:val="005658F2"/>
    <w:rsid w:val="0058164E"/>
    <w:rsid w:val="005A062F"/>
    <w:rsid w:val="005B4A61"/>
    <w:rsid w:val="005C29AF"/>
    <w:rsid w:val="005E1141"/>
    <w:rsid w:val="00675B2C"/>
    <w:rsid w:val="006966FB"/>
    <w:rsid w:val="006A4F48"/>
    <w:rsid w:val="006C1EB5"/>
    <w:rsid w:val="006F70CE"/>
    <w:rsid w:val="00700F1D"/>
    <w:rsid w:val="007141BE"/>
    <w:rsid w:val="007935DB"/>
    <w:rsid w:val="007E57C5"/>
    <w:rsid w:val="00814B2F"/>
    <w:rsid w:val="0087316F"/>
    <w:rsid w:val="008B7E8C"/>
    <w:rsid w:val="008E41B2"/>
    <w:rsid w:val="009225AC"/>
    <w:rsid w:val="00925A03"/>
    <w:rsid w:val="0094424D"/>
    <w:rsid w:val="00951FCE"/>
    <w:rsid w:val="00955C11"/>
    <w:rsid w:val="00990601"/>
    <w:rsid w:val="009B4608"/>
    <w:rsid w:val="009E25E8"/>
    <w:rsid w:val="00A5551F"/>
    <w:rsid w:val="00A65805"/>
    <w:rsid w:val="00A7314C"/>
    <w:rsid w:val="00A73A44"/>
    <w:rsid w:val="00A868E7"/>
    <w:rsid w:val="00A95C80"/>
    <w:rsid w:val="00AF0DA0"/>
    <w:rsid w:val="00B01BD2"/>
    <w:rsid w:val="00B13A13"/>
    <w:rsid w:val="00B433F9"/>
    <w:rsid w:val="00B650DA"/>
    <w:rsid w:val="00B80857"/>
    <w:rsid w:val="00BA374A"/>
    <w:rsid w:val="00BC65B3"/>
    <w:rsid w:val="00BD387B"/>
    <w:rsid w:val="00C3732B"/>
    <w:rsid w:val="00C52D90"/>
    <w:rsid w:val="00C73F6B"/>
    <w:rsid w:val="00C7579A"/>
    <w:rsid w:val="00C80BA2"/>
    <w:rsid w:val="00CA198A"/>
    <w:rsid w:val="00CE06E8"/>
    <w:rsid w:val="00CE6E65"/>
    <w:rsid w:val="00D37A5E"/>
    <w:rsid w:val="00D524E8"/>
    <w:rsid w:val="00D625A7"/>
    <w:rsid w:val="00D64E2E"/>
    <w:rsid w:val="00D652A0"/>
    <w:rsid w:val="00D831BA"/>
    <w:rsid w:val="00D95C32"/>
    <w:rsid w:val="00DC74DF"/>
    <w:rsid w:val="00DF2DD9"/>
    <w:rsid w:val="00E00E0C"/>
    <w:rsid w:val="00E06881"/>
    <w:rsid w:val="00E530F8"/>
    <w:rsid w:val="00E573B9"/>
    <w:rsid w:val="00E608A5"/>
    <w:rsid w:val="00ED2515"/>
    <w:rsid w:val="00ED26D2"/>
    <w:rsid w:val="00F967F9"/>
    <w:rsid w:val="00FF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4F245"/>
  <w15:docId w15:val="{6D5D0579-2104-4A22-B023-792A4B8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A062F"/>
    <w:pPr>
      <w:widowControl/>
      <w:adjustRightInd w:val="0"/>
    </w:pPr>
    <w:rPr>
      <w:rFonts w:ascii="Gill Sans MT" w:hAnsi="Gill Sans MT" w:cs="Gill Sans MT"/>
      <w:color w:val="000000"/>
      <w:sz w:val="24"/>
      <w:szCs w:val="24"/>
      <w:lang w:val="en-GB"/>
    </w:rPr>
  </w:style>
  <w:style w:type="paragraph" w:styleId="Header">
    <w:name w:val="header"/>
    <w:basedOn w:val="Normal"/>
    <w:link w:val="HeaderChar"/>
    <w:uiPriority w:val="99"/>
    <w:unhideWhenUsed/>
    <w:rsid w:val="00DC74DF"/>
    <w:pPr>
      <w:tabs>
        <w:tab w:val="center" w:pos="4513"/>
        <w:tab w:val="right" w:pos="9026"/>
      </w:tabs>
    </w:pPr>
  </w:style>
  <w:style w:type="character" w:customStyle="1" w:styleId="HeaderChar">
    <w:name w:val="Header Char"/>
    <w:basedOn w:val="DefaultParagraphFont"/>
    <w:link w:val="Header"/>
    <w:uiPriority w:val="99"/>
    <w:rsid w:val="00DC74DF"/>
    <w:rPr>
      <w:rFonts w:ascii="Gill Sans MT" w:eastAsia="Gill Sans MT" w:hAnsi="Gill Sans MT" w:cs="Gill Sans MT"/>
    </w:rPr>
  </w:style>
  <w:style w:type="paragraph" w:styleId="Footer">
    <w:name w:val="footer"/>
    <w:basedOn w:val="Normal"/>
    <w:link w:val="FooterChar"/>
    <w:uiPriority w:val="99"/>
    <w:unhideWhenUsed/>
    <w:rsid w:val="00DC74DF"/>
    <w:pPr>
      <w:tabs>
        <w:tab w:val="center" w:pos="4513"/>
        <w:tab w:val="right" w:pos="9026"/>
      </w:tabs>
    </w:pPr>
  </w:style>
  <w:style w:type="character" w:customStyle="1" w:styleId="FooterChar">
    <w:name w:val="Footer Char"/>
    <w:basedOn w:val="DefaultParagraphFont"/>
    <w:link w:val="Footer"/>
    <w:uiPriority w:val="99"/>
    <w:rsid w:val="00DC74DF"/>
    <w:rPr>
      <w:rFonts w:ascii="Gill Sans MT" w:eastAsia="Gill Sans MT" w:hAnsi="Gill Sans MT" w:cs="Gill Sans MT"/>
    </w:rPr>
  </w:style>
  <w:style w:type="table" w:styleId="TableGrid">
    <w:name w:val="Table Grid"/>
    <w:basedOn w:val="TableNormal"/>
    <w:uiPriority w:val="39"/>
    <w:rsid w:val="00DC74D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00E0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FAADEEFA156544B50DC2D0C2BEF4EA" ma:contentTypeVersion="10" ma:contentTypeDescription="Create a new document." ma:contentTypeScope="" ma:versionID="cc60236317f21edde8ac26d5a69c527d">
  <xsd:schema xmlns:xsd="http://www.w3.org/2001/XMLSchema" xmlns:xs="http://www.w3.org/2001/XMLSchema" xmlns:p="http://schemas.microsoft.com/office/2006/metadata/properties" xmlns:ns3="e9f1a508-2b16-4dba-948b-7c8c7edb1b88" targetNamespace="http://schemas.microsoft.com/office/2006/metadata/properties" ma:root="true" ma:fieldsID="ca24191387a23bad8e8efc40c92d2044" ns3:_="">
    <xsd:import namespace="e9f1a508-2b16-4dba-948b-7c8c7edb1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a508-2b16-4dba-948b-7c8c7edb1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469D6-DBA1-4C5F-AAF8-68256151E6C8}">
  <ds:schemaRefs>
    <ds:schemaRef ds:uri="http://schemas.microsoft.com/sharepoint/v3/contenttype/forms"/>
  </ds:schemaRefs>
</ds:datastoreItem>
</file>

<file path=customXml/itemProps2.xml><?xml version="1.0" encoding="utf-8"?>
<ds:datastoreItem xmlns:ds="http://schemas.openxmlformats.org/officeDocument/2006/customXml" ds:itemID="{B6E8084C-3956-48FB-8635-02699BFFBDF2}">
  <ds:schemaRefs>
    <ds:schemaRef ds:uri="http://schemas.openxmlformats.org/officeDocument/2006/bibliography"/>
  </ds:schemaRefs>
</ds:datastoreItem>
</file>

<file path=customXml/itemProps3.xml><?xml version="1.0" encoding="utf-8"?>
<ds:datastoreItem xmlns:ds="http://schemas.openxmlformats.org/officeDocument/2006/customXml" ds:itemID="{BB88B50C-6F43-4779-AFEB-5B835AB9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a508-2b16-4dba-948b-7c8c7edb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D6191-A07B-4A91-A65B-50525C8834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Staufenbiel</dc:creator>
  <cp:lastModifiedBy>Staufenbiel, Andrew</cp:lastModifiedBy>
  <cp:revision>9</cp:revision>
  <dcterms:created xsi:type="dcterms:W3CDTF">2022-09-30T11:39:00Z</dcterms:created>
  <dcterms:modified xsi:type="dcterms:W3CDTF">2023-12-05T14:30:00Z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Acrobat PDFMaker 15 for Word</vt:lpwstr>
  </property>
  <property fmtid="{D5CDD505-2E9C-101B-9397-08002B2CF9AE}" pid="4" name="LastSaved">
    <vt:filetime>2020-02-03T00:00:00Z</vt:filetime>
  </property>
  <property fmtid="{D5CDD505-2E9C-101B-9397-08002B2CF9AE}" pid="5" name="ContentTypeId">
    <vt:lpwstr>0x01010080FAADEEFA156544B50DC2D0C2BEF4EA</vt:lpwstr>
  </property>
</Properties>
</file>